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59E75" w14:textId="3320A314" w:rsidR="00E04F21" w:rsidRPr="00E04F21" w:rsidRDefault="00E04F21" w:rsidP="00E04F21">
      <w:pPr>
        <w:jc w:val="center"/>
        <w:rPr>
          <w:rFonts w:ascii="Arial Narrow" w:hAnsi="Arial Narrow"/>
          <w:b/>
          <w:bCs/>
          <w:color w:val="0070C0"/>
          <w:sz w:val="28"/>
          <w:szCs w:val="28"/>
        </w:rPr>
      </w:pPr>
      <w:bookmarkStart w:id="0" w:name="_Toc49631540"/>
      <w:bookmarkStart w:id="1" w:name="_Toc49632175"/>
      <w:r w:rsidRPr="00E04F21">
        <w:rPr>
          <w:rFonts w:ascii="Arial Narrow" w:hAnsi="Arial Narrow"/>
          <w:b/>
          <w:bCs/>
          <w:color w:val="0070C0"/>
          <w:sz w:val="28"/>
          <w:szCs w:val="28"/>
        </w:rPr>
        <w:t>TEXTES POUR LES SECTIONS DE FOSAD</w:t>
      </w:r>
    </w:p>
    <w:p w14:paraId="28E1DEB5" w14:textId="77777777" w:rsidR="00E04F21" w:rsidRDefault="00E04F21" w:rsidP="00B044F7">
      <w:pPr>
        <w:jc w:val="both"/>
        <w:rPr>
          <w:rFonts w:ascii="Arial Narrow" w:hAnsi="Arial Narrow"/>
          <w:b/>
          <w:bCs/>
          <w:color w:val="0070C0"/>
          <w:sz w:val="24"/>
          <w:szCs w:val="24"/>
        </w:rPr>
      </w:pPr>
    </w:p>
    <w:p w14:paraId="2483BD57" w14:textId="61BCF3CD" w:rsidR="00641F55" w:rsidRPr="00E04F21" w:rsidRDefault="00641F55" w:rsidP="00E04F21">
      <w:pPr>
        <w:jc w:val="both"/>
        <w:rPr>
          <w:rFonts w:ascii="Arial Narrow" w:hAnsi="Arial Narrow"/>
          <w:b/>
          <w:bCs/>
          <w:color w:val="0070C0"/>
          <w:sz w:val="24"/>
          <w:szCs w:val="24"/>
        </w:rPr>
      </w:pPr>
      <w:r w:rsidRPr="00E04F21">
        <w:rPr>
          <w:rFonts w:ascii="Arial Narrow" w:hAnsi="Arial Narrow"/>
          <w:b/>
          <w:bCs/>
          <w:color w:val="0070C0"/>
          <w:sz w:val="24"/>
          <w:szCs w:val="24"/>
        </w:rPr>
        <w:t>MOT DES FONDATEURS</w:t>
      </w:r>
    </w:p>
    <w:p w14:paraId="72985866" w14:textId="53E3C6D7" w:rsidR="00B044F7" w:rsidRPr="00B044F7" w:rsidRDefault="00B044F7" w:rsidP="00B044F7">
      <w:pPr>
        <w:jc w:val="both"/>
        <w:rPr>
          <w:rFonts w:ascii="Arial Narrow" w:hAnsi="Arial Narrow"/>
          <w:sz w:val="24"/>
          <w:szCs w:val="24"/>
        </w:rPr>
      </w:pPr>
      <w:r w:rsidRPr="00B044F7">
        <w:rPr>
          <w:rFonts w:ascii="Arial Narrow" w:hAnsi="Arial Narrow"/>
          <w:sz w:val="24"/>
          <w:szCs w:val="24"/>
        </w:rPr>
        <w:t xml:space="preserve">Le Professeur Mandy Kader KONDÉ avec son épouse </w:t>
      </w:r>
      <w:r>
        <w:rPr>
          <w:rFonts w:ascii="Arial Narrow" w:hAnsi="Arial Narrow"/>
          <w:sz w:val="24"/>
          <w:szCs w:val="24"/>
        </w:rPr>
        <w:t xml:space="preserve">la </w:t>
      </w:r>
      <w:r w:rsidRPr="00B044F7">
        <w:rPr>
          <w:rFonts w:ascii="Arial Narrow" w:hAnsi="Arial Narrow"/>
          <w:sz w:val="24"/>
          <w:szCs w:val="24"/>
        </w:rPr>
        <w:t>Dr</w:t>
      </w:r>
      <w:r>
        <w:rPr>
          <w:rFonts w:ascii="Arial Narrow" w:hAnsi="Arial Narrow"/>
          <w:sz w:val="24"/>
          <w:szCs w:val="24"/>
        </w:rPr>
        <w:t>e</w:t>
      </w:r>
      <w:r w:rsidRPr="00B044F7">
        <w:rPr>
          <w:rFonts w:ascii="Arial Narrow" w:hAnsi="Arial Narrow"/>
          <w:sz w:val="24"/>
          <w:szCs w:val="24"/>
        </w:rPr>
        <w:t xml:space="preserve"> Saran KEBE médecin, ont créé l’Organisation non gouvernementale à but non lucratif « Fondation Santé et Développement Durable » (FOSAD) et le Centre d’Excellence de Formation &amp; Recherche sur le Paludisme et les Maladies Prioritaires en Guinée (CEFORPAG)</w:t>
      </w:r>
      <w:r>
        <w:rPr>
          <w:rFonts w:ascii="Arial Narrow" w:hAnsi="Arial Narrow"/>
          <w:sz w:val="24"/>
          <w:szCs w:val="24"/>
        </w:rPr>
        <w:t>.</w:t>
      </w:r>
    </w:p>
    <w:bookmarkEnd w:id="0"/>
    <w:bookmarkEnd w:id="1"/>
    <w:p w14:paraId="5167AEF4" w14:textId="645004BD" w:rsidR="00641F55" w:rsidRDefault="00641F55" w:rsidP="00641F55">
      <w:pPr>
        <w:spacing w:after="0" w:line="240" w:lineRule="auto"/>
        <w:jc w:val="both"/>
        <w:rPr>
          <w:rFonts w:ascii="Arial Narrow" w:hAnsi="Arial Narrow"/>
          <w:sz w:val="24"/>
          <w:szCs w:val="24"/>
        </w:rPr>
      </w:pPr>
      <w:r>
        <w:rPr>
          <w:rFonts w:ascii="Arial Narrow" w:hAnsi="Arial Narrow"/>
          <w:sz w:val="24"/>
          <w:szCs w:val="24"/>
        </w:rPr>
        <w:t>Le Professeur KONDÉ est pédiatre, nutritionniste et Professeur de santé publique à l’Université Gamal Abdel Nasser de Conakry. Il a été pendant 5 ans Directeur National de la Santé au Ministère de la Santé en Guinée.  Il a ensuite travaillé 16 ans à l’Organisation Mondiale de la Santé (OMS) comme fonctionnaire et spécifiquement dans les domaines de la prévention, la surveillance et la lutte contre la maladie de même que le contrôle des épidémies (Ébola au Zaïre en 1995, méningites et rougeoles au Burkina 2000-2004 ; Grippe pandémique, poliomyélite Brazzaville) dans la Région Africaine. Au siège de l’OMS à Genève, il a renforcé ses capacités et a été très impliqué dans le développement, les essais cliniques et l’introduction du nouveau vaccin conjugué contre la méningite épidémique A.</w:t>
      </w:r>
    </w:p>
    <w:p w14:paraId="2747699E" w14:textId="77777777" w:rsidR="00641F55" w:rsidRDefault="00641F55" w:rsidP="00641F55">
      <w:pPr>
        <w:jc w:val="both"/>
        <w:rPr>
          <w:rFonts w:ascii="Arial Narrow" w:hAnsi="Arial Narrow"/>
          <w:sz w:val="24"/>
          <w:szCs w:val="24"/>
        </w:rPr>
      </w:pPr>
    </w:p>
    <w:p w14:paraId="1A5318DB" w14:textId="15C24FAB" w:rsidR="00641F55" w:rsidRPr="00A56752" w:rsidRDefault="00B044F7" w:rsidP="00641F55">
      <w:pPr>
        <w:jc w:val="both"/>
        <w:rPr>
          <w:rFonts w:ascii="Arial Narrow" w:hAnsi="Arial Narrow"/>
          <w:sz w:val="24"/>
          <w:szCs w:val="24"/>
        </w:rPr>
      </w:pPr>
      <w:r>
        <w:rPr>
          <w:rFonts w:ascii="Arial Narrow" w:hAnsi="Arial Narrow"/>
          <w:sz w:val="24"/>
          <w:szCs w:val="24"/>
        </w:rPr>
        <w:t xml:space="preserve">Les </w:t>
      </w:r>
      <w:r w:rsidR="00641F55" w:rsidRPr="00A56752">
        <w:rPr>
          <w:rFonts w:ascii="Arial Narrow" w:hAnsi="Arial Narrow"/>
          <w:sz w:val="24"/>
          <w:szCs w:val="24"/>
        </w:rPr>
        <w:t>Fondat</w:t>
      </w:r>
      <w:r>
        <w:rPr>
          <w:rFonts w:ascii="Arial Narrow" w:hAnsi="Arial Narrow"/>
          <w:sz w:val="24"/>
          <w:szCs w:val="24"/>
        </w:rPr>
        <w:t>eurs</w:t>
      </w:r>
      <w:r w:rsidR="00641F55" w:rsidRPr="00A56752">
        <w:rPr>
          <w:rFonts w:ascii="Arial Narrow" w:hAnsi="Arial Narrow"/>
          <w:sz w:val="24"/>
          <w:szCs w:val="24"/>
        </w:rPr>
        <w:t xml:space="preserve"> FOSAD </w:t>
      </w:r>
      <w:r w:rsidR="00641F55">
        <w:rPr>
          <w:rFonts w:ascii="Arial Narrow" w:hAnsi="Arial Narrow"/>
          <w:sz w:val="24"/>
          <w:szCs w:val="24"/>
        </w:rPr>
        <w:t>s</w:t>
      </w:r>
      <w:r>
        <w:rPr>
          <w:rFonts w:ascii="Arial Narrow" w:hAnsi="Arial Narrow"/>
          <w:sz w:val="24"/>
          <w:szCs w:val="24"/>
        </w:rPr>
        <w:t xml:space="preserve">e sont </w:t>
      </w:r>
      <w:r w:rsidR="00641F55">
        <w:rPr>
          <w:rFonts w:ascii="Arial Narrow" w:hAnsi="Arial Narrow"/>
          <w:sz w:val="24"/>
          <w:szCs w:val="24"/>
        </w:rPr>
        <w:t>fortement inspiré</w:t>
      </w:r>
      <w:r>
        <w:rPr>
          <w:rFonts w:ascii="Arial Narrow" w:hAnsi="Arial Narrow"/>
          <w:sz w:val="24"/>
          <w:szCs w:val="24"/>
        </w:rPr>
        <w:t>s</w:t>
      </w:r>
      <w:r w:rsidR="00641F55">
        <w:rPr>
          <w:rFonts w:ascii="Arial Narrow" w:hAnsi="Arial Narrow"/>
          <w:sz w:val="24"/>
          <w:szCs w:val="24"/>
        </w:rPr>
        <w:t xml:space="preserve"> de la vision du</w:t>
      </w:r>
      <w:r w:rsidR="00641F55" w:rsidRPr="00A56752">
        <w:rPr>
          <w:rFonts w:ascii="Arial Narrow" w:hAnsi="Arial Narrow"/>
          <w:sz w:val="24"/>
          <w:szCs w:val="24"/>
        </w:rPr>
        <w:t xml:space="preserve"> </w:t>
      </w:r>
      <w:r w:rsidR="00641F55" w:rsidRPr="00A56752">
        <w:rPr>
          <w:rFonts w:ascii="Arial Narrow" w:hAnsi="Arial Narrow"/>
          <w:b/>
          <w:sz w:val="24"/>
          <w:szCs w:val="24"/>
        </w:rPr>
        <w:t xml:space="preserve">Président </w:t>
      </w:r>
      <w:r w:rsidR="00641F55">
        <w:rPr>
          <w:rFonts w:ascii="Arial Narrow" w:hAnsi="Arial Narrow"/>
          <w:b/>
          <w:sz w:val="24"/>
          <w:szCs w:val="24"/>
        </w:rPr>
        <w:t xml:space="preserve">américain </w:t>
      </w:r>
      <w:r w:rsidR="00641F55" w:rsidRPr="00A56752">
        <w:rPr>
          <w:rFonts w:ascii="Arial Narrow" w:hAnsi="Arial Narrow"/>
          <w:b/>
          <w:sz w:val="24"/>
          <w:szCs w:val="24"/>
        </w:rPr>
        <w:t>John F. Kennedy</w:t>
      </w:r>
      <w:r w:rsidR="00641F55" w:rsidRPr="00A56752">
        <w:rPr>
          <w:rFonts w:ascii="Arial Narrow" w:hAnsi="Arial Narrow"/>
          <w:sz w:val="24"/>
          <w:szCs w:val="24"/>
        </w:rPr>
        <w:t xml:space="preserve"> </w:t>
      </w:r>
      <w:r w:rsidR="00641F55">
        <w:rPr>
          <w:rFonts w:ascii="Arial Narrow" w:hAnsi="Arial Narrow"/>
          <w:sz w:val="24"/>
          <w:szCs w:val="24"/>
        </w:rPr>
        <w:t xml:space="preserve">qui </w:t>
      </w:r>
      <w:r w:rsidR="00641F55" w:rsidRPr="00A56752">
        <w:rPr>
          <w:rFonts w:ascii="Arial Narrow" w:hAnsi="Arial Narrow"/>
          <w:sz w:val="24"/>
          <w:szCs w:val="24"/>
        </w:rPr>
        <w:t xml:space="preserve">disait </w:t>
      </w:r>
      <w:r w:rsidR="00641F55">
        <w:rPr>
          <w:rFonts w:ascii="Arial Narrow" w:hAnsi="Arial Narrow"/>
          <w:sz w:val="24"/>
          <w:szCs w:val="24"/>
        </w:rPr>
        <w:t xml:space="preserve">lors de son discours d’investiture </w:t>
      </w:r>
      <w:r w:rsidR="00641F55" w:rsidRPr="00A56752">
        <w:rPr>
          <w:rFonts w:ascii="Arial Narrow" w:hAnsi="Arial Narrow"/>
          <w:i/>
          <w:sz w:val="24"/>
          <w:szCs w:val="24"/>
        </w:rPr>
        <w:t xml:space="preserve">« Ne demande pas ce que ton pays peut faire </w:t>
      </w:r>
      <w:r w:rsidR="00641F55">
        <w:rPr>
          <w:rFonts w:ascii="Arial Narrow" w:hAnsi="Arial Narrow"/>
          <w:i/>
          <w:sz w:val="24"/>
          <w:szCs w:val="24"/>
        </w:rPr>
        <w:t>p</w:t>
      </w:r>
      <w:r w:rsidR="00641F55" w:rsidRPr="00A56752">
        <w:rPr>
          <w:rFonts w:ascii="Arial Narrow" w:hAnsi="Arial Narrow"/>
          <w:i/>
          <w:sz w:val="24"/>
          <w:szCs w:val="24"/>
        </w:rPr>
        <w:t xml:space="preserve">our toi, mais plutôt </w:t>
      </w:r>
      <w:r w:rsidR="00641F55">
        <w:rPr>
          <w:rFonts w:ascii="Arial Narrow" w:hAnsi="Arial Narrow"/>
          <w:i/>
          <w:sz w:val="24"/>
          <w:szCs w:val="24"/>
        </w:rPr>
        <w:t xml:space="preserve">demande </w:t>
      </w:r>
      <w:r w:rsidR="00641F55" w:rsidRPr="00A56752">
        <w:rPr>
          <w:rFonts w:ascii="Arial Narrow" w:hAnsi="Arial Narrow"/>
          <w:i/>
          <w:sz w:val="24"/>
          <w:szCs w:val="24"/>
        </w:rPr>
        <w:t xml:space="preserve">ce que tu peux faire pour ton pays ». </w:t>
      </w:r>
      <w:r>
        <w:rPr>
          <w:rFonts w:ascii="Arial Narrow" w:hAnsi="Arial Narrow"/>
          <w:iCs/>
          <w:sz w:val="24"/>
          <w:szCs w:val="24"/>
        </w:rPr>
        <w:t>Ils</w:t>
      </w:r>
      <w:r w:rsidR="00641F55">
        <w:rPr>
          <w:rFonts w:ascii="Arial Narrow" w:hAnsi="Arial Narrow"/>
          <w:iCs/>
          <w:sz w:val="24"/>
          <w:szCs w:val="24"/>
        </w:rPr>
        <w:t xml:space="preserve"> pense</w:t>
      </w:r>
      <w:r>
        <w:rPr>
          <w:rFonts w:ascii="Arial Narrow" w:hAnsi="Arial Narrow"/>
          <w:iCs/>
          <w:sz w:val="24"/>
          <w:szCs w:val="24"/>
        </w:rPr>
        <w:t>nt</w:t>
      </w:r>
      <w:r w:rsidR="00641F55" w:rsidRPr="00A56752">
        <w:rPr>
          <w:rFonts w:ascii="Arial Narrow" w:hAnsi="Arial Narrow"/>
          <w:sz w:val="24"/>
          <w:szCs w:val="24"/>
        </w:rPr>
        <w:t xml:space="preserve"> que l</w:t>
      </w:r>
      <w:r w:rsidR="00641F55">
        <w:rPr>
          <w:rFonts w:ascii="Arial Narrow" w:hAnsi="Arial Narrow"/>
          <w:sz w:val="24"/>
          <w:szCs w:val="24"/>
        </w:rPr>
        <w:t>e</w:t>
      </w:r>
      <w:r w:rsidR="00641F55" w:rsidRPr="00A56752">
        <w:rPr>
          <w:rFonts w:ascii="Arial Narrow" w:hAnsi="Arial Narrow"/>
          <w:sz w:val="24"/>
          <w:szCs w:val="24"/>
        </w:rPr>
        <w:t xml:space="preserve"> </w:t>
      </w:r>
      <w:r w:rsidR="00641F55">
        <w:rPr>
          <w:rFonts w:ascii="Arial Narrow" w:hAnsi="Arial Narrow"/>
          <w:sz w:val="24"/>
          <w:szCs w:val="24"/>
        </w:rPr>
        <w:t>P</w:t>
      </w:r>
      <w:r w:rsidR="00641F55" w:rsidRPr="00A56752">
        <w:rPr>
          <w:rFonts w:ascii="Arial Narrow" w:hAnsi="Arial Narrow"/>
          <w:sz w:val="24"/>
          <w:szCs w:val="24"/>
        </w:rPr>
        <w:t xml:space="preserve">artenariat </w:t>
      </w:r>
      <w:r w:rsidR="00641F55">
        <w:rPr>
          <w:rFonts w:ascii="Arial Narrow" w:hAnsi="Arial Narrow"/>
          <w:sz w:val="24"/>
          <w:szCs w:val="24"/>
        </w:rPr>
        <w:t>P</w:t>
      </w:r>
      <w:r w:rsidR="00641F55" w:rsidRPr="00A56752">
        <w:rPr>
          <w:rFonts w:ascii="Arial Narrow" w:hAnsi="Arial Narrow"/>
          <w:sz w:val="24"/>
          <w:szCs w:val="24"/>
        </w:rPr>
        <w:t>ublic-</w:t>
      </w:r>
      <w:r w:rsidR="00641F55">
        <w:rPr>
          <w:rFonts w:ascii="Arial Narrow" w:hAnsi="Arial Narrow"/>
          <w:sz w:val="24"/>
          <w:szCs w:val="24"/>
        </w:rPr>
        <w:t>P</w:t>
      </w:r>
      <w:r w:rsidR="00641F55" w:rsidRPr="00A56752">
        <w:rPr>
          <w:rFonts w:ascii="Arial Narrow" w:hAnsi="Arial Narrow"/>
          <w:sz w:val="24"/>
          <w:szCs w:val="24"/>
        </w:rPr>
        <w:t>rivé</w:t>
      </w:r>
      <w:r w:rsidR="00641F55">
        <w:rPr>
          <w:rFonts w:ascii="Arial Narrow" w:hAnsi="Arial Narrow"/>
          <w:sz w:val="24"/>
          <w:szCs w:val="24"/>
        </w:rPr>
        <w:t xml:space="preserve"> (PPP)</w:t>
      </w:r>
      <w:r w:rsidR="00641F55" w:rsidRPr="00A56752">
        <w:rPr>
          <w:rFonts w:ascii="Arial Narrow" w:hAnsi="Arial Narrow"/>
          <w:sz w:val="24"/>
          <w:szCs w:val="24"/>
        </w:rPr>
        <w:t xml:space="preserve"> est un nouveau paradigme pour relancer le système de santé après l’effroyable épidémie de la maladie à virus Ébola et les défis de la présente Pandémie à coronavirus (COVID-19). </w:t>
      </w:r>
    </w:p>
    <w:p w14:paraId="00ED5A1C" w14:textId="77777777" w:rsidR="00641F55" w:rsidRPr="00601826" w:rsidRDefault="00641F55" w:rsidP="00641F55">
      <w:pPr>
        <w:jc w:val="both"/>
        <w:rPr>
          <w:rFonts w:ascii="Arial Narrow" w:hAnsi="Arial Narrow"/>
          <w:sz w:val="24"/>
          <w:szCs w:val="24"/>
        </w:rPr>
      </w:pPr>
      <w:r w:rsidRPr="00A56752">
        <w:rPr>
          <w:rFonts w:ascii="Arial Narrow" w:hAnsi="Arial Narrow"/>
          <w:sz w:val="24"/>
          <w:szCs w:val="24"/>
        </w:rPr>
        <w:t xml:space="preserve">Les Fondateurs sont convaincus que pour aller vers la Couverture sanitaire universelle et l’atteinte des objectifs de de Développement Durable (ODD), il </w:t>
      </w:r>
      <w:r>
        <w:rPr>
          <w:rFonts w:ascii="Arial Narrow" w:hAnsi="Arial Narrow"/>
          <w:sz w:val="24"/>
          <w:szCs w:val="24"/>
        </w:rPr>
        <w:t xml:space="preserve">y a nécessité de </w:t>
      </w:r>
      <w:r w:rsidRPr="00A56752">
        <w:rPr>
          <w:rFonts w:ascii="Arial Narrow" w:hAnsi="Arial Narrow"/>
          <w:sz w:val="24"/>
          <w:szCs w:val="24"/>
        </w:rPr>
        <w:t xml:space="preserve">changer de paradigme </w:t>
      </w:r>
      <w:r>
        <w:rPr>
          <w:rFonts w:ascii="Arial Narrow" w:hAnsi="Arial Narrow"/>
          <w:sz w:val="24"/>
          <w:szCs w:val="24"/>
        </w:rPr>
        <w:t xml:space="preserve">et à cet effet, </w:t>
      </w:r>
      <w:r w:rsidRPr="00A56752">
        <w:rPr>
          <w:rFonts w:ascii="Arial Narrow" w:hAnsi="Arial Narrow"/>
          <w:sz w:val="24"/>
          <w:szCs w:val="24"/>
        </w:rPr>
        <w:t xml:space="preserve">les Organisations de la Société civile </w:t>
      </w:r>
      <w:r>
        <w:rPr>
          <w:rFonts w:ascii="Arial Narrow" w:hAnsi="Arial Narrow"/>
          <w:sz w:val="24"/>
          <w:szCs w:val="24"/>
        </w:rPr>
        <w:t xml:space="preserve">(OSC) </w:t>
      </w:r>
      <w:r w:rsidRPr="00A56752">
        <w:rPr>
          <w:rFonts w:ascii="Arial Narrow" w:hAnsi="Arial Narrow"/>
          <w:sz w:val="24"/>
          <w:szCs w:val="24"/>
        </w:rPr>
        <w:t xml:space="preserve">et le Secteur Privé ont un rôle crucial à mener avec la pleine implication des autorités locales et </w:t>
      </w:r>
      <w:r>
        <w:rPr>
          <w:rFonts w:ascii="Arial Narrow" w:hAnsi="Arial Narrow"/>
          <w:sz w:val="24"/>
          <w:szCs w:val="24"/>
        </w:rPr>
        <w:t>d</w:t>
      </w:r>
      <w:r w:rsidRPr="00A56752">
        <w:rPr>
          <w:rFonts w:ascii="Arial Narrow" w:hAnsi="Arial Narrow"/>
          <w:sz w:val="24"/>
          <w:szCs w:val="24"/>
        </w:rPr>
        <w:t xml:space="preserve">es communautés. </w:t>
      </w:r>
    </w:p>
    <w:p w14:paraId="69593DB1" w14:textId="77777777" w:rsidR="00211D2D" w:rsidRDefault="00211D2D"/>
    <w:p w14:paraId="639A1C55" w14:textId="18D870CA" w:rsidR="008B57BA" w:rsidRPr="00E04F21" w:rsidRDefault="00E04F21" w:rsidP="00E04F21">
      <w:pPr>
        <w:jc w:val="both"/>
        <w:rPr>
          <w:rFonts w:ascii="Arial Narrow" w:hAnsi="Arial Narrow"/>
          <w:b/>
          <w:bCs/>
          <w:color w:val="0070C0"/>
          <w:sz w:val="28"/>
          <w:szCs w:val="28"/>
        </w:rPr>
      </w:pPr>
      <w:r w:rsidRPr="00E04F21">
        <w:rPr>
          <w:rFonts w:ascii="Arial Narrow" w:hAnsi="Arial Narrow"/>
          <w:b/>
          <w:bCs/>
          <w:color w:val="0070C0"/>
          <w:sz w:val="28"/>
          <w:szCs w:val="28"/>
        </w:rPr>
        <w:t xml:space="preserve">LA FONDATION </w:t>
      </w:r>
      <w:r w:rsidR="00211D2D" w:rsidRPr="00E04F21">
        <w:rPr>
          <w:rFonts w:ascii="Arial Narrow" w:hAnsi="Arial Narrow"/>
          <w:b/>
          <w:bCs/>
          <w:color w:val="0070C0"/>
          <w:sz w:val="28"/>
          <w:szCs w:val="28"/>
        </w:rPr>
        <w:t>FOSAD</w:t>
      </w:r>
    </w:p>
    <w:p w14:paraId="7B096C23" w14:textId="77777777" w:rsidR="00211D2D" w:rsidRPr="00E04F21" w:rsidRDefault="00211D2D" w:rsidP="00211D2D">
      <w:pPr>
        <w:spacing w:after="0" w:line="240" w:lineRule="auto"/>
        <w:rPr>
          <w:b/>
          <w:bCs/>
          <w:color w:val="0070C0"/>
          <w:sz w:val="24"/>
          <w:szCs w:val="24"/>
        </w:rPr>
      </w:pPr>
      <w:bookmarkStart w:id="2" w:name="_Toc48896162"/>
      <w:r w:rsidRPr="00E04F21">
        <w:rPr>
          <w:b/>
          <w:bCs/>
          <w:color w:val="0070C0"/>
          <w:sz w:val="24"/>
          <w:szCs w:val="24"/>
        </w:rPr>
        <w:t>VISION</w:t>
      </w:r>
      <w:bookmarkEnd w:id="2"/>
      <w:r w:rsidRPr="00E04F21">
        <w:rPr>
          <w:b/>
          <w:bCs/>
          <w:color w:val="0070C0"/>
          <w:sz w:val="24"/>
          <w:szCs w:val="24"/>
        </w:rPr>
        <w:t xml:space="preserve"> </w:t>
      </w:r>
    </w:p>
    <w:p w14:paraId="3386657D" w14:textId="77777777" w:rsidR="00211D2D" w:rsidRPr="001E6A4C" w:rsidRDefault="00211D2D" w:rsidP="00211D2D">
      <w:pPr>
        <w:spacing w:after="0" w:line="240" w:lineRule="auto"/>
        <w:rPr>
          <w:rFonts w:ascii="Arial Narrow" w:hAnsi="Arial Narrow" w:cs="Times New Roman"/>
          <w:sz w:val="24"/>
          <w:lang w:eastAsia="zh-CN"/>
        </w:rPr>
      </w:pPr>
      <w:r w:rsidRPr="001E6A4C">
        <w:rPr>
          <w:rFonts w:ascii="Arial Narrow" w:hAnsi="Arial Narrow" w:cs="Times New Roman"/>
          <w:sz w:val="24"/>
          <w:lang w:val="fr-BE"/>
        </w:rPr>
        <w:t>La FOSAD s’est donnée comme vision d</w:t>
      </w:r>
      <w:r>
        <w:rPr>
          <w:rFonts w:ascii="Arial Narrow" w:hAnsi="Arial Narrow" w:cs="Times New Roman"/>
          <w:sz w:val="24"/>
          <w:lang w:val="fr-BE"/>
        </w:rPr>
        <w:t xml:space="preserve">’avoir </w:t>
      </w:r>
      <w:r w:rsidRPr="001E6A4C">
        <w:rPr>
          <w:rFonts w:ascii="Arial Narrow" w:hAnsi="Arial Narrow" w:cs="Times New Roman"/>
          <w:sz w:val="24"/>
          <w:lang w:val="fr-BE"/>
        </w:rPr>
        <w:t xml:space="preserve">une Guinée dans laquelle les communautés vivent en bonne santé dans un cadre favorisant le bien-être. </w:t>
      </w:r>
    </w:p>
    <w:p w14:paraId="45F0401B" w14:textId="77777777" w:rsidR="00211D2D" w:rsidRDefault="00211D2D" w:rsidP="00211D2D">
      <w:bookmarkStart w:id="3" w:name="_Toc48896163"/>
    </w:p>
    <w:p w14:paraId="2CD82187" w14:textId="77777777" w:rsidR="00211D2D" w:rsidRPr="00E04F21" w:rsidRDefault="00211D2D" w:rsidP="00211D2D">
      <w:pPr>
        <w:spacing w:after="0" w:line="240" w:lineRule="auto"/>
        <w:rPr>
          <w:b/>
          <w:bCs/>
          <w:color w:val="0070C0"/>
          <w:sz w:val="24"/>
          <w:szCs w:val="24"/>
        </w:rPr>
      </w:pPr>
      <w:r w:rsidRPr="00E04F21">
        <w:rPr>
          <w:b/>
          <w:bCs/>
          <w:color w:val="0070C0"/>
          <w:sz w:val="24"/>
          <w:szCs w:val="24"/>
        </w:rPr>
        <w:t>MISSION</w:t>
      </w:r>
      <w:bookmarkEnd w:id="3"/>
      <w:r w:rsidRPr="00E04F21">
        <w:rPr>
          <w:b/>
          <w:bCs/>
          <w:color w:val="0070C0"/>
          <w:sz w:val="24"/>
          <w:szCs w:val="24"/>
        </w:rPr>
        <w:t xml:space="preserve"> </w:t>
      </w:r>
    </w:p>
    <w:p w14:paraId="7A8B0A16" w14:textId="77777777" w:rsidR="00211D2D" w:rsidRDefault="00211D2D" w:rsidP="00211D2D">
      <w:pPr>
        <w:spacing w:after="0" w:line="240" w:lineRule="auto"/>
        <w:jc w:val="both"/>
        <w:rPr>
          <w:rFonts w:ascii="Arial Narrow" w:hAnsi="Arial Narrow" w:cs="Times New Roman"/>
          <w:sz w:val="24"/>
          <w:lang w:val="fr-BE" w:eastAsia="zh-CN"/>
        </w:rPr>
      </w:pPr>
      <w:r w:rsidRPr="001E6A4C">
        <w:rPr>
          <w:rFonts w:ascii="Arial Narrow" w:hAnsi="Arial Narrow" w:cs="Times New Roman"/>
          <w:sz w:val="24"/>
          <w:lang w:val="fr-BE" w:eastAsia="zh-CN"/>
        </w:rPr>
        <w:t>Conformément à ses statuts juridiques, la FOSAD a pour mission d’initier, conduire et gérer des actions en faveur de l’amélioration de la santé et du cadre de vie des communautés à la base</w:t>
      </w:r>
      <w:r>
        <w:rPr>
          <w:rFonts w:ascii="Arial Narrow" w:hAnsi="Arial Narrow" w:cs="Times New Roman"/>
          <w:sz w:val="24"/>
          <w:lang w:val="fr-BE" w:eastAsia="zh-CN"/>
        </w:rPr>
        <w:t>,</w:t>
      </w:r>
      <w:r w:rsidRPr="001E6A4C">
        <w:rPr>
          <w:rFonts w:ascii="Arial Narrow" w:hAnsi="Arial Narrow" w:cs="Times New Roman"/>
          <w:sz w:val="24"/>
          <w:lang w:val="fr-BE" w:eastAsia="zh-CN"/>
        </w:rPr>
        <w:t xml:space="preserve"> pour un développement socio-économique durable.</w:t>
      </w:r>
    </w:p>
    <w:p w14:paraId="430EEA39" w14:textId="77777777" w:rsidR="00211D2D" w:rsidRPr="001E6A4C" w:rsidRDefault="00211D2D" w:rsidP="00211D2D">
      <w:pPr>
        <w:spacing w:after="0" w:line="240" w:lineRule="auto"/>
        <w:jc w:val="both"/>
        <w:rPr>
          <w:rFonts w:ascii="Arial Narrow" w:hAnsi="Arial Narrow" w:cs="Times New Roman"/>
          <w:sz w:val="24"/>
          <w:lang w:val="fr-BE" w:eastAsia="zh-CN"/>
        </w:rPr>
      </w:pPr>
    </w:p>
    <w:p w14:paraId="2E3C6CD7" w14:textId="77777777" w:rsidR="00211D2D" w:rsidRPr="00E04F21" w:rsidRDefault="00211D2D" w:rsidP="00E04F21">
      <w:pPr>
        <w:spacing w:after="0" w:line="240" w:lineRule="auto"/>
        <w:rPr>
          <w:b/>
          <w:bCs/>
          <w:color w:val="0070C0"/>
          <w:sz w:val="24"/>
          <w:szCs w:val="24"/>
        </w:rPr>
      </w:pPr>
      <w:bookmarkStart w:id="4" w:name="_Toc48896164"/>
      <w:r w:rsidRPr="00E04F21">
        <w:rPr>
          <w:b/>
          <w:bCs/>
          <w:color w:val="0070C0"/>
          <w:sz w:val="24"/>
          <w:szCs w:val="24"/>
        </w:rPr>
        <w:t>PRINCIPES ET VALEURS.</w:t>
      </w:r>
      <w:bookmarkEnd w:id="4"/>
      <w:r w:rsidRPr="00E04F21">
        <w:rPr>
          <w:b/>
          <w:bCs/>
          <w:color w:val="0070C0"/>
          <w:sz w:val="24"/>
          <w:szCs w:val="24"/>
        </w:rPr>
        <w:t xml:space="preserve"> </w:t>
      </w:r>
    </w:p>
    <w:p w14:paraId="5F284FAB" w14:textId="77777777" w:rsidR="00211D2D" w:rsidRPr="001E6A4C" w:rsidRDefault="00211D2D" w:rsidP="00211D2D">
      <w:pPr>
        <w:spacing w:after="0" w:line="240" w:lineRule="auto"/>
        <w:jc w:val="both"/>
        <w:rPr>
          <w:rFonts w:ascii="Arial Narrow" w:hAnsi="Arial Narrow" w:cs="Times New Roman"/>
          <w:sz w:val="24"/>
          <w:szCs w:val="24"/>
          <w:lang w:eastAsia="zh-CN"/>
        </w:rPr>
      </w:pPr>
      <w:r w:rsidRPr="001E6A4C">
        <w:rPr>
          <w:rFonts w:ascii="Arial Narrow" w:hAnsi="Arial Narrow" w:cs="Times New Roman"/>
          <w:sz w:val="24"/>
          <w:szCs w:val="24"/>
          <w:lang w:eastAsia="zh-CN"/>
        </w:rPr>
        <w:t>Les principes fondamentaux de la FOSAD sont l’excellence, la probité morale et intellectuelle, l’esprit de redevabilité, la justice sociale et l'égalité, en particulier en faveur des populations pauvres et marginalisées.</w:t>
      </w:r>
    </w:p>
    <w:p w14:paraId="28852B9D" w14:textId="77777777" w:rsidR="00211D2D" w:rsidRDefault="00211D2D" w:rsidP="00211D2D">
      <w:pPr>
        <w:spacing w:after="0" w:line="240" w:lineRule="auto"/>
        <w:rPr>
          <w:rFonts w:ascii="Arial Narrow" w:hAnsi="Arial Narrow" w:cs="Times New Roman"/>
          <w:b/>
          <w:sz w:val="24"/>
          <w:szCs w:val="24"/>
          <w:lang w:eastAsia="zh-CN"/>
        </w:rPr>
      </w:pPr>
    </w:p>
    <w:p w14:paraId="5528035D" w14:textId="77777777" w:rsidR="00E04F21" w:rsidRDefault="00E04F21" w:rsidP="00211D2D">
      <w:pPr>
        <w:spacing w:after="0" w:line="240" w:lineRule="auto"/>
        <w:rPr>
          <w:b/>
          <w:bCs/>
          <w:color w:val="0070C0"/>
          <w:sz w:val="24"/>
          <w:szCs w:val="24"/>
        </w:rPr>
      </w:pPr>
    </w:p>
    <w:p w14:paraId="558B64F9" w14:textId="20F79551" w:rsidR="00E04F21" w:rsidRDefault="00E04F21" w:rsidP="00211D2D">
      <w:pPr>
        <w:spacing w:after="0" w:line="240" w:lineRule="auto"/>
        <w:rPr>
          <w:rFonts w:ascii="Arial Narrow" w:hAnsi="Arial Narrow" w:cs="Times New Roman"/>
          <w:sz w:val="24"/>
          <w:szCs w:val="24"/>
          <w:lang w:eastAsia="zh-CN"/>
        </w:rPr>
      </w:pPr>
      <w:r w:rsidRPr="00E04F21">
        <w:rPr>
          <w:b/>
          <w:bCs/>
          <w:color w:val="0070C0"/>
          <w:sz w:val="24"/>
          <w:szCs w:val="24"/>
        </w:rPr>
        <w:lastRenderedPageBreak/>
        <w:t>VALEURS FONDAMENTALES :</w:t>
      </w:r>
      <w:r w:rsidRPr="00A26788">
        <w:rPr>
          <w:rFonts w:ascii="Arial Narrow" w:hAnsi="Arial Narrow" w:cs="Times New Roman"/>
          <w:sz w:val="24"/>
          <w:szCs w:val="24"/>
          <w:lang w:eastAsia="zh-CN"/>
        </w:rPr>
        <w:t xml:space="preserve"> </w:t>
      </w:r>
    </w:p>
    <w:p w14:paraId="17E6ED5F" w14:textId="2E9368CD" w:rsidR="00211D2D" w:rsidRPr="00A26788" w:rsidRDefault="00E04F21" w:rsidP="00211D2D">
      <w:pPr>
        <w:spacing w:after="0" w:line="240" w:lineRule="auto"/>
        <w:rPr>
          <w:rFonts w:ascii="Arial Narrow" w:hAnsi="Arial Narrow" w:cs="Times New Roman"/>
          <w:sz w:val="24"/>
          <w:szCs w:val="24"/>
          <w:lang w:eastAsia="zh-CN"/>
        </w:rPr>
      </w:pPr>
      <w:r w:rsidRPr="00A26788">
        <w:rPr>
          <w:rFonts w:ascii="Arial Narrow" w:hAnsi="Arial Narrow" w:cs="Times New Roman"/>
          <w:sz w:val="24"/>
          <w:szCs w:val="24"/>
          <w:lang w:eastAsia="zh-CN"/>
        </w:rPr>
        <w:t>Au</w:t>
      </w:r>
      <w:r w:rsidR="00211D2D" w:rsidRPr="00A26788">
        <w:rPr>
          <w:rFonts w:ascii="Arial Narrow" w:hAnsi="Arial Narrow" w:cs="Times New Roman"/>
          <w:sz w:val="24"/>
          <w:szCs w:val="24"/>
          <w:lang w:eastAsia="zh-CN"/>
        </w:rPr>
        <w:t xml:space="preserve"> niveau de la FOSAD :</w:t>
      </w:r>
    </w:p>
    <w:p w14:paraId="112D05FE" w14:textId="77777777" w:rsidR="00211D2D" w:rsidRPr="00A26788" w:rsidRDefault="00211D2D" w:rsidP="00211D2D">
      <w:pPr>
        <w:pStyle w:val="Paragraphedeliste"/>
        <w:numPr>
          <w:ilvl w:val="0"/>
          <w:numId w:val="5"/>
        </w:numPr>
        <w:spacing w:after="0" w:line="240" w:lineRule="auto"/>
        <w:jc w:val="both"/>
        <w:rPr>
          <w:rFonts w:ascii="Arial Narrow" w:hAnsi="Arial Narrow"/>
          <w:lang w:eastAsia="zh-CN"/>
        </w:rPr>
      </w:pPr>
      <w:r w:rsidRPr="00A26788">
        <w:rPr>
          <w:rFonts w:ascii="Arial Narrow" w:hAnsi="Arial Narrow"/>
          <w:lang w:eastAsia="zh-CN"/>
        </w:rPr>
        <w:t>Nous croyons que les communautés sont les principales actrices de leur santé et de leur développement ;</w:t>
      </w:r>
    </w:p>
    <w:p w14:paraId="074BA8C2" w14:textId="77777777" w:rsidR="00211D2D" w:rsidRPr="00A26788" w:rsidRDefault="00211D2D" w:rsidP="00211D2D">
      <w:pPr>
        <w:pStyle w:val="Paragraphedeliste"/>
        <w:numPr>
          <w:ilvl w:val="0"/>
          <w:numId w:val="5"/>
        </w:numPr>
        <w:spacing w:after="0" w:line="240" w:lineRule="auto"/>
        <w:jc w:val="both"/>
        <w:rPr>
          <w:rFonts w:ascii="Arial Narrow" w:hAnsi="Arial Narrow"/>
          <w:lang w:eastAsia="zh-CN"/>
        </w:rPr>
      </w:pPr>
      <w:r w:rsidRPr="00A26788">
        <w:rPr>
          <w:rFonts w:ascii="Arial Narrow" w:hAnsi="Arial Narrow"/>
          <w:lang w:eastAsia="zh-CN"/>
        </w:rPr>
        <w:t xml:space="preserve">Nous contribuons à l’amélioration de la santé et du niveau d’éducation des communautés avec lesquelles nous travaillons, conscients que la santé et l’éducation sont les fondements d’un développement durable ; </w:t>
      </w:r>
    </w:p>
    <w:p w14:paraId="7C95D8E3" w14:textId="77777777" w:rsidR="00211D2D" w:rsidRPr="00A26788" w:rsidRDefault="00211D2D" w:rsidP="00211D2D">
      <w:pPr>
        <w:pStyle w:val="Paragraphedeliste"/>
        <w:numPr>
          <w:ilvl w:val="0"/>
          <w:numId w:val="5"/>
        </w:numPr>
        <w:spacing w:after="0" w:line="240" w:lineRule="auto"/>
        <w:jc w:val="both"/>
        <w:rPr>
          <w:rFonts w:ascii="Arial Narrow" w:hAnsi="Arial Narrow"/>
          <w:lang w:eastAsia="zh-CN"/>
        </w:rPr>
      </w:pPr>
      <w:r w:rsidRPr="00A26788">
        <w:rPr>
          <w:rFonts w:ascii="Arial Narrow" w:hAnsi="Arial Narrow"/>
          <w:lang w:eastAsia="zh-CN"/>
        </w:rPr>
        <w:t>Nous travaillons en partenariat avec les communautés, les organisations gouvernementales, non gouvernementales et partenaires au développement dans le respect des règles de bonne gestion, d’efficience et de redevabilité ;</w:t>
      </w:r>
    </w:p>
    <w:p w14:paraId="1BAE886F" w14:textId="77777777" w:rsidR="00211D2D" w:rsidRPr="00A26788" w:rsidRDefault="00211D2D" w:rsidP="00211D2D">
      <w:pPr>
        <w:pStyle w:val="Paragraphedeliste"/>
        <w:numPr>
          <w:ilvl w:val="0"/>
          <w:numId w:val="5"/>
        </w:numPr>
        <w:spacing w:after="0" w:line="240" w:lineRule="auto"/>
        <w:jc w:val="both"/>
        <w:rPr>
          <w:rFonts w:ascii="Arial Narrow" w:hAnsi="Arial Narrow"/>
          <w:lang w:eastAsia="zh-CN"/>
        </w:rPr>
      </w:pPr>
      <w:r w:rsidRPr="00A26788">
        <w:rPr>
          <w:rFonts w:ascii="Arial Narrow" w:hAnsi="Arial Narrow"/>
          <w:lang w:eastAsia="zh-CN"/>
        </w:rPr>
        <w:t xml:space="preserve">Nous accomplissons notre travail avec intégrité, probité et courage ; </w:t>
      </w:r>
    </w:p>
    <w:p w14:paraId="11B4C97E" w14:textId="77777777" w:rsidR="00211D2D" w:rsidRPr="00A26788" w:rsidRDefault="00211D2D" w:rsidP="00211D2D">
      <w:pPr>
        <w:pStyle w:val="Paragraphedeliste"/>
        <w:numPr>
          <w:ilvl w:val="0"/>
          <w:numId w:val="5"/>
        </w:numPr>
        <w:spacing w:after="0" w:line="240" w:lineRule="auto"/>
        <w:jc w:val="both"/>
        <w:rPr>
          <w:rFonts w:ascii="Arial Narrow" w:hAnsi="Arial Narrow"/>
          <w:lang w:eastAsia="zh-CN"/>
        </w:rPr>
      </w:pPr>
      <w:r w:rsidRPr="00A26788">
        <w:rPr>
          <w:rFonts w:ascii="Arial Narrow" w:hAnsi="Arial Narrow"/>
          <w:lang w:eastAsia="zh-CN"/>
        </w:rPr>
        <w:t>Nous respectons la diversité et privilégions la compétence au sein de notre propre organisation et dans les communautés avec lesquelles nous travaillons ;</w:t>
      </w:r>
    </w:p>
    <w:p w14:paraId="5FA29EF8" w14:textId="77777777" w:rsidR="00211D2D" w:rsidRPr="00A26788" w:rsidRDefault="00211D2D" w:rsidP="00211D2D">
      <w:pPr>
        <w:pStyle w:val="Paragraphedeliste"/>
        <w:numPr>
          <w:ilvl w:val="0"/>
          <w:numId w:val="5"/>
        </w:numPr>
        <w:spacing w:after="0" w:line="240" w:lineRule="auto"/>
        <w:jc w:val="both"/>
        <w:rPr>
          <w:rFonts w:ascii="Arial Narrow" w:hAnsi="Arial Narrow"/>
          <w:lang w:eastAsia="zh-CN"/>
        </w:rPr>
      </w:pPr>
      <w:r w:rsidRPr="00A26788">
        <w:rPr>
          <w:rFonts w:ascii="Arial Narrow" w:hAnsi="Arial Narrow"/>
          <w:lang w:eastAsia="zh-CN"/>
        </w:rPr>
        <w:t xml:space="preserve">Nous visons l'excellence dans toutes nos actions. </w:t>
      </w:r>
    </w:p>
    <w:p w14:paraId="3E7DC712" w14:textId="77777777" w:rsidR="006C23F3" w:rsidRDefault="006C23F3" w:rsidP="006C23F3">
      <w:pPr>
        <w:pStyle w:val="Titre2"/>
        <w:numPr>
          <w:ilvl w:val="0"/>
          <w:numId w:val="0"/>
        </w:numPr>
      </w:pPr>
      <w:bookmarkStart w:id="5" w:name="_Toc48896165"/>
      <w:bookmarkStart w:id="6" w:name="_Toc49631548"/>
      <w:bookmarkStart w:id="7" w:name="_Toc49632183"/>
    </w:p>
    <w:p w14:paraId="6F1351AF" w14:textId="75AEAEE6" w:rsidR="006C23F3" w:rsidRPr="00E04F21" w:rsidRDefault="006C23F3" w:rsidP="00E04F21">
      <w:pPr>
        <w:spacing w:after="0" w:line="240" w:lineRule="auto"/>
        <w:rPr>
          <w:b/>
          <w:bCs/>
          <w:color w:val="0070C0"/>
          <w:sz w:val="24"/>
          <w:szCs w:val="24"/>
        </w:rPr>
      </w:pPr>
      <w:r w:rsidRPr="00E04F21">
        <w:rPr>
          <w:b/>
          <w:bCs/>
          <w:color w:val="0070C0"/>
          <w:sz w:val="24"/>
          <w:szCs w:val="24"/>
        </w:rPr>
        <w:t>OBJECTIF DE DEVELOPPEMENT</w:t>
      </w:r>
      <w:bookmarkEnd w:id="5"/>
      <w:bookmarkEnd w:id="6"/>
      <w:bookmarkEnd w:id="7"/>
      <w:r w:rsidRPr="00E04F21">
        <w:rPr>
          <w:b/>
          <w:bCs/>
          <w:color w:val="0070C0"/>
          <w:sz w:val="24"/>
          <w:szCs w:val="24"/>
        </w:rPr>
        <w:t xml:space="preserve"> FOSAD</w:t>
      </w:r>
    </w:p>
    <w:p w14:paraId="533191B9" w14:textId="77777777" w:rsidR="006C23F3" w:rsidRPr="009127A1" w:rsidRDefault="006C23F3" w:rsidP="006C23F3">
      <w:pPr>
        <w:rPr>
          <w:rFonts w:ascii="Arial Narrow" w:hAnsi="Arial Narrow" w:cs="Times New Roman"/>
          <w:sz w:val="24"/>
          <w:lang w:eastAsia="zh-CN"/>
        </w:rPr>
      </w:pPr>
      <w:r w:rsidRPr="009127A1">
        <w:rPr>
          <w:rFonts w:ascii="Arial Narrow" w:hAnsi="Arial Narrow" w:cs="Times New Roman"/>
          <w:sz w:val="24"/>
          <w:lang w:eastAsia="zh-CN"/>
        </w:rPr>
        <w:t xml:space="preserve">Le cadre de vie pour le bien-être des populations est amélioré </w:t>
      </w:r>
    </w:p>
    <w:p w14:paraId="2FB03675" w14:textId="77777777" w:rsidR="006C23F3" w:rsidRPr="009127A1" w:rsidRDefault="006C23F3" w:rsidP="006C23F3">
      <w:pPr>
        <w:rPr>
          <w:rFonts w:ascii="Arial Narrow" w:hAnsi="Arial Narrow"/>
          <w:b/>
          <w:bCs/>
          <w:color w:val="0070C0"/>
        </w:rPr>
      </w:pPr>
      <w:bookmarkStart w:id="8" w:name="_Toc48896166"/>
      <w:r w:rsidRPr="009127A1">
        <w:rPr>
          <w:rFonts w:ascii="Arial Narrow" w:hAnsi="Arial Narrow"/>
          <w:b/>
          <w:bCs/>
          <w:color w:val="0070C0"/>
        </w:rPr>
        <w:t>OBJECTIF SPECTIFIQUE</w:t>
      </w:r>
      <w:bookmarkEnd w:id="8"/>
    </w:p>
    <w:p w14:paraId="1625EE96" w14:textId="77777777" w:rsidR="006C23F3" w:rsidRPr="009127A1" w:rsidRDefault="006C23F3" w:rsidP="006C23F3">
      <w:pPr>
        <w:rPr>
          <w:rFonts w:ascii="Arial Narrow" w:hAnsi="Arial Narrow" w:cs="Times New Roman"/>
          <w:lang w:eastAsia="zh-CN"/>
        </w:rPr>
      </w:pPr>
      <w:r w:rsidRPr="009127A1">
        <w:rPr>
          <w:rFonts w:ascii="Arial Narrow" w:hAnsi="Arial Narrow" w:cs="Times New Roman"/>
          <w:lang w:eastAsia="zh-CN"/>
        </w:rPr>
        <w:t>L’utilisation accrue des services de santé de qualité par la population dans les districts sanitaires de la Guinée d’ici l’an 2022.</w:t>
      </w:r>
    </w:p>
    <w:p w14:paraId="483EC04A" w14:textId="77777777" w:rsidR="006C23F3" w:rsidRPr="009127A1" w:rsidRDefault="006C23F3" w:rsidP="006C23F3">
      <w:pPr>
        <w:rPr>
          <w:rFonts w:ascii="Arial Narrow" w:hAnsi="Arial Narrow"/>
          <w:b/>
          <w:bCs/>
          <w:color w:val="0070C0"/>
        </w:rPr>
      </w:pPr>
      <w:bookmarkStart w:id="9" w:name="_Toc48896167"/>
      <w:r w:rsidRPr="009127A1">
        <w:rPr>
          <w:rFonts w:ascii="Arial Narrow" w:hAnsi="Arial Narrow"/>
          <w:b/>
          <w:bCs/>
          <w:color w:val="0070C0"/>
        </w:rPr>
        <w:t>RESULTATS STRATEGIQUES ATTENDUS</w:t>
      </w:r>
      <w:bookmarkEnd w:id="9"/>
    </w:p>
    <w:p w14:paraId="2A63C1E2" w14:textId="77777777" w:rsidR="006C23F3" w:rsidRPr="009127A1" w:rsidRDefault="006C23F3" w:rsidP="006C23F3">
      <w:pPr>
        <w:rPr>
          <w:rFonts w:ascii="Arial Narrow" w:hAnsi="Arial Narrow"/>
          <w:i/>
          <w:iCs/>
        </w:rPr>
      </w:pPr>
      <w:bookmarkStart w:id="10" w:name="_Toc48896168"/>
      <w:r w:rsidRPr="009127A1">
        <w:rPr>
          <w:rFonts w:ascii="Arial Narrow" w:hAnsi="Arial Narrow"/>
          <w:b/>
          <w:bCs/>
        </w:rPr>
        <w:t>Résultat 1 :</w:t>
      </w:r>
      <w:r w:rsidRPr="009127A1">
        <w:rPr>
          <w:rFonts w:ascii="Arial Narrow" w:hAnsi="Arial Narrow"/>
        </w:rPr>
        <w:t xml:space="preserve"> </w:t>
      </w:r>
      <w:r w:rsidRPr="009127A1">
        <w:rPr>
          <w:rFonts w:ascii="Arial Narrow" w:hAnsi="Arial Narrow"/>
          <w:i/>
          <w:iCs/>
        </w:rPr>
        <w:t>Offre de services de santé communautaire y compris des soins essentiels intégrés, de qualité et abordables aux populations cibles (avec un accent sur les femmes en âge de procréer et leurs filles et garçons de moins de cinq ans)</w:t>
      </w:r>
      <w:bookmarkEnd w:id="10"/>
      <w:r w:rsidRPr="009127A1">
        <w:rPr>
          <w:rFonts w:ascii="Arial Narrow" w:hAnsi="Arial Narrow"/>
          <w:i/>
          <w:iCs/>
        </w:rPr>
        <w:t> ;</w:t>
      </w:r>
    </w:p>
    <w:p w14:paraId="5011BD43" w14:textId="77777777" w:rsidR="006C23F3" w:rsidRPr="009127A1" w:rsidRDefault="006C23F3" w:rsidP="006C23F3">
      <w:pPr>
        <w:rPr>
          <w:rFonts w:ascii="Arial Narrow" w:hAnsi="Arial Narrow" w:cs="Times New Roman"/>
          <w:i/>
          <w:iCs/>
          <w:lang w:eastAsia="zh-CN"/>
        </w:rPr>
      </w:pPr>
      <w:r w:rsidRPr="009127A1">
        <w:rPr>
          <w:rFonts w:ascii="Arial Narrow" w:eastAsia="Times New Roman" w:hAnsi="Arial Narrow" w:cs="Times New Roman"/>
          <w:b/>
          <w:bCs/>
          <w:lang w:eastAsia="zh-CN"/>
        </w:rPr>
        <w:t>Résultat 2 :</w:t>
      </w:r>
      <w:r w:rsidRPr="009127A1">
        <w:rPr>
          <w:rFonts w:ascii="Arial Narrow" w:hAnsi="Arial Narrow"/>
          <w:lang w:eastAsia="zh-CN"/>
        </w:rPr>
        <w:t xml:space="preserve"> </w:t>
      </w:r>
      <w:r w:rsidRPr="009127A1">
        <w:rPr>
          <w:rFonts w:ascii="Arial Narrow" w:hAnsi="Arial Narrow" w:cs="Times New Roman"/>
          <w:i/>
          <w:iCs/>
          <w:lang w:eastAsia="zh-CN"/>
        </w:rPr>
        <w:t>Qualité de service de prise en charge des malades, renforcée à travers l’intégration des paquets de soins essentiels (SONU, SR/PF, CPC, Vaccination, Nutrition) et de nouveaux services complémentaires (VIH, TB, diabète, HTA, autres) ;</w:t>
      </w:r>
    </w:p>
    <w:p w14:paraId="53969C17" w14:textId="77777777" w:rsidR="006C23F3" w:rsidRPr="009127A1" w:rsidRDefault="006C23F3" w:rsidP="006C23F3">
      <w:pPr>
        <w:rPr>
          <w:rFonts w:ascii="Arial Narrow" w:hAnsi="Arial Narrow"/>
        </w:rPr>
      </w:pPr>
      <w:bookmarkStart w:id="11" w:name="_Toc48896169"/>
      <w:r w:rsidRPr="009127A1">
        <w:rPr>
          <w:rFonts w:ascii="Arial Narrow" w:hAnsi="Arial Narrow"/>
        </w:rPr>
        <w:t xml:space="preserve">Résultat 3 : </w:t>
      </w:r>
      <w:r w:rsidRPr="009127A1">
        <w:rPr>
          <w:rFonts w:ascii="Arial Narrow" w:hAnsi="Arial Narrow"/>
          <w:i/>
          <w:iCs/>
        </w:rPr>
        <w:t>Demande de services de santé par la population, accrue à travers la promotion de la santé communautaire, des bonnes pratiques clés en santé et l’autonomisation des femmes</w:t>
      </w:r>
      <w:bookmarkEnd w:id="11"/>
      <w:r w:rsidRPr="009127A1">
        <w:rPr>
          <w:rFonts w:ascii="Arial Narrow" w:hAnsi="Arial Narrow"/>
          <w:i/>
          <w:iCs/>
        </w:rPr>
        <w:t> ;</w:t>
      </w:r>
    </w:p>
    <w:p w14:paraId="53EEF5A5" w14:textId="77777777" w:rsidR="006C23F3" w:rsidRPr="009127A1" w:rsidRDefault="006C23F3" w:rsidP="006C23F3">
      <w:pPr>
        <w:rPr>
          <w:rFonts w:ascii="Arial Narrow" w:hAnsi="Arial Narrow" w:cs="Times New Roman"/>
          <w:lang w:eastAsia="zh-CN"/>
        </w:rPr>
      </w:pPr>
      <w:r w:rsidRPr="009127A1">
        <w:rPr>
          <w:rFonts w:ascii="Arial Narrow" w:eastAsia="Times New Roman" w:hAnsi="Arial Narrow" w:cs="Times New Roman"/>
          <w:b/>
          <w:bCs/>
          <w:lang w:eastAsia="zh-CN"/>
        </w:rPr>
        <w:t>Résultat 4 :</w:t>
      </w:r>
      <w:r w:rsidRPr="009127A1">
        <w:rPr>
          <w:rFonts w:ascii="Arial Narrow" w:hAnsi="Arial Narrow"/>
          <w:sz w:val="28"/>
          <w:szCs w:val="28"/>
        </w:rPr>
        <w:t> </w:t>
      </w:r>
      <w:r w:rsidRPr="009127A1">
        <w:rPr>
          <w:rFonts w:ascii="Arial Narrow" w:hAnsi="Arial Narrow" w:cs="Times New Roman"/>
          <w:i/>
          <w:iCs/>
          <w:lang w:eastAsia="zh-CN"/>
        </w:rPr>
        <w:t>Partenariat établi entre les parties prenantes vers un développement durable (société civile, état et les élus locaux) pour les innovations sur la santé, l’eau, l’hygiène, l’assainissement et l’environnement </w:t>
      </w:r>
      <w:r w:rsidRPr="009127A1">
        <w:rPr>
          <w:rFonts w:ascii="Arial Narrow" w:hAnsi="Arial Narrow" w:cs="Times New Roman"/>
          <w:lang w:eastAsia="zh-CN"/>
        </w:rPr>
        <w:t>;</w:t>
      </w:r>
    </w:p>
    <w:p w14:paraId="1152AC3C" w14:textId="77777777" w:rsidR="006C23F3" w:rsidRPr="009127A1" w:rsidRDefault="006C23F3" w:rsidP="006C23F3">
      <w:pPr>
        <w:rPr>
          <w:rFonts w:ascii="Arial Narrow" w:hAnsi="Arial Narrow"/>
          <w:b/>
          <w:bCs/>
        </w:rPr>
      </w:pPr>
      <w:bookmarkStart w:id="12" w:name="_Toc48896170"/>
      <w:r w:rsidRPr="009127A1">
        <w:rPr>
          <w:rFonts w:ascii="Arial Narrow" w:hAnsi="Arial Narrow"/>
          <w:b/>
          <w:bCs/>
        </w:rPr>
        <w:t>Résultat 5 :</w:t>
      </w:r>
      <w:r w:rsidRPr="009127A1">
        <w:rPr>
          <w:rFonts w:ascii="Arial Narrow" w:hAnsi="Arial Narrow"/>
        </w:rPr>
        <w:t xml:space="preserve"> </w:t>
      </w:r>
      <w:r w:rsidRPr="009127A1">
        <w:rPr>
          <w:rFonts w:ascii="Arial Narrow" w:hAnsi="Arial Narrow"/>
          <w:i/>
          <w:iCs/>
        </w:rPr>
        <w:t xml:space="preserve">les Initiatives de développement communautaire et de recherche essentielle pour </w:t>
      </w:r>
      <w:proofErr w:type="gramStart"/>
      <w:r w:rsidRPr="009127A1">
        <w:rPr>
          <w:rFonts w:ascii="Arial Narrow" w:hAnsi="Arial Narrow"/>
          <w:i/>
          <w:iCs/>
        </w:rPr>
        <w:t>la santé accrues</w:t>
      </w:r>
      <w:proofErr w:type="gramEnd"/>
      <w:r w:rsidRPr="009127A1">
        <w:rPr>
          <w:rFonts w:ascii="Arial Narrow" w:hAnsi="Arial Narrow"/>
          <w:i/>
          <w:iCs/>
        </w:rPr>
        <w:t xml:space="preserve"> en faveur du plaidoyer sur une base factuelle</w:t>
      </w:r>
      <w:bookmarkEnd w:id="12"/>
      <w:r w:rsidRPr="009127A1">
        <w:rPr>
          <w:rFonts w:ascii="Arial Narrow" w:hAnsi="Arial Narrow"/>
        </w:rPr>
        <w:t>.</w:t>
      </w:r>
    </w:p>
    <w:p w14:paraId="5D3C955E" w14:textId="45AA670C" w:rsidR="006C23F3" w:rsidRDefault="006C23F3"/>
    <w:p w14:paraId="29931971" w14:textId="77777777" w:rsidR="000B3DD8" w:rsidRPr="009C56A8" w:rsidRDefault="000B3DD8" w:rsidP="000B3DD8">
      <w:pPr>
        <w:pStyle w:val="Titre1"/>
        <w:numPr>
          <w:ilvl w:val="0"/>
          <w:numId w:val="6"/>
        </w:numPr>
        <w:spacing w:before="240" w:after="0" w:line="240" w:lineRule="auto"/>
        <w:rPr>
          <w:rStyle w:val="lev"/>
          <w:b/>
          <w:bCs/>
          <w:color w:val="0070C0"/>
        </w:rPr>
      </w:pPr>
      <w:bookmarkStart w:id="13" w:name="_Toc49631549"/>
      <w:bookmarkStart w:id="14" w:name="_Toc49632184"/>
      <w:r w:rsidRPr="00E04F21">
        <w:rPr>
          <w:rFonts w:ascii="Arial Narrow" w:eastAsiaTheme="minorHAnsi" w:hAnsi="Arial Narrow" w:cstheme="minorBidi"/>
          <w:lang w:eastAsia="en-US"/>
        </w:rPr>
        <w:t>LE CENTRE D’EXCELLENCE DE FORMATION ET RECHERCHE SUR LES</w:t>
      </w:r>
      <w:r w:rsidRPr="009C56A8">
        <w:rPr>
          <w:rStyle w:val="lev"/>
          <w:b/>
          <w:bCs/>
          <w:color w:val="0070C0"/>
        </w:rPr>
        <w:t xml:space="preserve"> MALADIES PRIORITAIRES EN GUINEE (CEFORPAG)</w:t>
      </w:r>
      <w:bookmarkEnd w:id="13"/>
      <w:bookmarkEnd w:id="14"/>
      <w:r w:rsidRPr="009C56A8">
        <w:rPr>
          <w:rStyle w:val="lev"/>
          <w:b/>
          <w:bCs/>
          <w:color w:val="0070C0"/>
        </w:rPr>
        <w:t xml:space="preserve"> </w:t>
      </w:r>
    </w:p>
    <w:p w14:paraId="0B43CB50" w14:textId="77777777" w:rsidR="000B3DD8" w:rsidRDefault="000B3DD8" w:rsidP="000B3DD8">
      <w:pPr>
        <w:spacing w:after="0" w:line="240" w:lineRule="auto"/>
        <w:jc w:val="both"/>
        <w:rPr>
          <w:rFonts w:ascii="Arial Narrow" w:hAnsi="Arial Narrow"/>
          <w:sz w:val="24"/>
        </w:rPr>
      </w:pPr>
      <w:r>
        <w:rPr>
          <w:rFonts w:ascii="Arial Narrow" w:hAnsi="Arial Narrow"/>
          <w:sz w:val="24"/>
        </w:rPr>
        <w:t xml:space="preserve">La Fondation FOSAD </w:t>
      </w:r>
      <w:r w:rsidRPr="003D67DF">
        <w:rPr>
          <w:rFonts w:ascii="Arial Narrow" w:hAnsi="Arial Narrow"/>
          <w:sz w:val="24"/>
        </w:rPr>
        <w:t xml:space="preserve">a mis en place un Centre de Formation et de Recherche sur le Paludisme et les Maladies prioritaires en Guinée (CEFORPAG) </w:t>
      </w:r>
      <w:r>
        <w:rPr>
          <w:rFonts w:ascii="Arial Narrow" w:hAnsi="Arial Narrow"/>
          <w:sz w:val="24"/>
        </w:rPr>
        <w:t xml:space="preserve">qui </w:t>
      </w:r>
      <w:r w:rsidRPr="003D67DF">
        <w:rPr>
          <w:rFonts w:ascii="Arial Narrow" w:hAnsi="Arial Narrow"/>
          <w:sz w:val="24"/>
        </w:rPr>
        <w:t xml:space="preserve">a été autorisé par le Ministère de la Santé (Arrêté N°2013/2505/MSHP/CAB/SGG du 19 </w:t>
      </w:r>
      <w:r>
        <w:rPr>
          <w:rFonts w:ascii="Arial Narrow" w:hAnsi="Arial Narrow"/>
          <w:sz w:val="24"/>
        </w:rPr>
        <w:t>Juin 2013). Le CEFORPAG est un C</w:t>
      </w:r>
      <w:r w:rsidRPr="003D67DF">
        <w:rPr>
          <w:rFonts w:ascii="Arial Narrow" w:hAnsi="Arial Narrow"/>
          <w:sz w:val="24"/>
        </w:rPr>
        <w:t xml:space="preserve">entre d’excellence avec une mission de santé publique et de renforcement de capacités en vue de contribuer à alléger la morbidité et la mortalité liées aux maladies prioritaires y compris le Paludisme en Guinée et contribuer ainsi à un développement durable. </w:t>
      </w:r>
    </w:p>
    <w:p w14:paraId="42DB6593" w14:textId="77777777" w:rsidR="000B3DD8" w:rsidRDefault="000B3DD8" w:rsidP="000B3DD8">
      <w:pPr>
        <w:spacing w:after="0" w:line="240" w:lineRule="auto"/>
        <w:jc w:val="both"/>
        <w:rPr>
          <w:rFonts w:ascii="Arial Narrow" w:hAnsi="Arial Narrow"/>
          <w:sz w:val="24"/>
        </w:rPr>
      </w:pPr>
    </w:p>
    <w:p w14:paraId="75D48401" w14:textId="77777777" w:rsidR="000B3DD8" w:rsidRDefault="000B3DD8" w:rsidP="000B3DD8">
      <w:pPr>
        <w:spacing w:after="0" w:line="240" w:lineRule="auto"/>
        <w:jc w:val="both"/>
        <w:rPr>
          <w:rFonts w:ascii="Arial Narrow" w:hAnsi="Arial Narrow"/>
          <w:sz w:val="24"/>
        </w:rPr>
      </w:pPr>
      <w:r>
        <w:rPr>
          <w:rFonts w:ascii="Arial Narrow" w:hAnsi="Arial Narrow"/>
          <w:sz w:val="24"/>
        </w:rPr>
        <w:t>Un résumé du bilan des activités se présentent comme suit ;</w:t>
      </w:r>
    </w:p>
    <w:p w14:paraId="74D8FEC4" w14:textId="77777777" w:rsidR="000B3DD8" w:rsidRDefault="000B3DD8" w:rsidP="000B3DD8">
      <w:pPr>
        <w:spacing w:after="0" w:line="240" w:lineRule="auto"/>
        <w:jc w:val="both"/>
        <w:rPr>
          <w:rFonts w:ascii="Arial Narrow" w:hAnsi="Arial Narrow"/>
          <w:sz w:val="24"/>
        </w:rPr>
      </w:pPr>
    </w:p>
    <w:p w14:paraId="43B28E54" w14:textId="77777777" w:rsidR="000B3DD8" w:rsidRPr="00E668C6" w:rsidRDefault="000B3DD8" w:rsidP="000B3DD8">
      <w:pPr>
        <w:pStyle w:val="Titre1"/>
        <w:numPr>
          <w:ilvl w:val="1"/>
          <w:numId w:val="6"/>
        </w:numPr>
        <w:spacing w:before="0" w:after="0" w:line="240" w:lineRule="auto"/>
      </w:pPr>
      <w:bookmarkStart w:id="15" w:name="_Toc49631550"/>
      <w:bookmarkStart w:id="16" w:name="_Toc49632185"/>
      <w:r w:rsidRPr="00E668C6">
        <w:t>LES RECHERCHES</w:t>
      </w:r>
      <w:bookmarkEnd w:id="15"/>
      <w:bookmarkEnd w:id="16"/>
    </w:p>
    <w:p w14:paraId="340B005D" w14:textId="77777777" w:rsidR="000B3DD8" w:rsidRDefault="000B3DD8" w:rsidP="000B3DD8">
      <w:pPr>
        <w:spacing w:after="0" w:line="240" w:lineRule="auto"/>
        <w:jc w:val="both"/>
        <w:rPr>
          <w:rFonts w:ascii="Arial Narrow" w:hAnsi="Arial Narrow"/>
          <w:sz w:val="24"/>
        </w:rPr>
      </w:pPr>
      <w:r>
        <w:rPr>
          <w:rFonts w:ascii="Arial Narrow" w:hAnsi="Arial Narrow"/>
          <w:sz w:val="24"/>
        </w:rPr>
        <w:t xml:space="preserve">La FOSAD a pu conduire de nombreuses </w:t>
      </w:r>
      <w:r w:rsidRPr="003468A9">
        <w:rPr>
          <w:rFonts w:ascii="Arial Narrow" w:hAnsi="Arial Narrow"/>
          <w:sz w:val="24"/>
        </w:rPr>
        <w:t>recherches</w:t>
      </w:r>
      <w:r>
        <w:rPr>
          <w:rFonts w:ascii="Arial Narrow" w:hAnsi="Arial Narrow"/>
          <w:sz w:val="24"/>
        </w:rPr>
        <w:t xml:space="preserve"> tant au niveau communautaire que sur celles des plus pointues avec des institutions prestigieuses, notamment avec :</w:t>
      </w:r>
    </w:p>
    <w:p w14:paraId="2519AD14" w14:textId="77777777" w:rsidR="000B3DD8" w:rsidRDefault="000B3DD8" w:rsidP="000B3DD8">
      <w:pPr>
        <w:pStyle w:val="Paragraphedeliste"/>
        <w:numPr>
          <w:ilvl w:val="0"/>
          <w:numId w:val="7"/>
        </w:numPr>
        <w:spacing w:after="200" w:line="276" w:lineRule="auto"/>
        <w:jc w:val="both"/>
        <w:rPr>
          <w:rFonts w:ascii="Arial Narrow" w:hAnsi="Arial Narrow"/>
          <w:sz w:val="24"/>
        </w:rPr>
      </w:pPr>
      <w:r>
        <w:rPr>
          <w:rFonts w:ascii="Arial Narrow" w:hAnsi="Arial Narrow"/>
          <w:sz w:val="24"/>
        </w:rPr>
        <w:t>L</w:t>
      </w:r>
      <w:r w:rsidRPr="0010628D">
        <w:rPr>
          <w:rFonts w:ascii="Arial Narrow" w:hAnsi="Arial Narrow"/>
          <w:sz w:val="24"/>
        </w:rPr>
        <w:t xml:space="preserve">’Université de Toronto au </w:t>
      </w:r>
      <w:r>
        <w:rPr>
          <w:rFonts w:ascii="Arial Narrow" w:hAnsi="Arial Narrow"/>
          <w:sz w:val="24"/>
        </w:rPr>
        <w:t>Canada (</w:t>
      </w:r>
      <w:r w:rsidRPr="00A55A6C">
        <w:rPr>
          <w:rFonts w:ascii="Arial Narrow" w:hAnsi="Arial Narrow"/>
          <w:sz w:val="24"/>
        </w:rPr>
        <w:t>Prof Eleanor Fish)</w:t>
      </w:r>
      <w:r>
        <w:rPr>
          <w:rFonts w:ascii="Arial Narrow" w:hAnsi="Arial Narrow"/>
        </w:rPr>
        <w:t xml:space="preserve"> </w:t>
      </w:r>
      <w:r w:rsidRPr="007B48D6">
        <w:rPr>
          <w:rStyle w:val="Appelnotedebasdep"/>
          <w:rFonts w:ascii="Arial Narrow" w:hAnsi="Arial Narrow"/>
        </w:rPr>
        <w:footnoteReference w:id="1"/>
      </w:r>
      <w:r w:rsidRPr="007B48D6">
        <w:rPr>
          <w:rFonts w:ascii="Arial Narrow" w:hAnsi="Arial Narrow"/>
        </w:rPr>
        <w:t xml:space="preserve"> </w:t>
      </w:r>
      <w:r>
        <w:rPr>
          <w:rFonts w:ascii="Arial Narrow" w:hAnsi="Arial Narrow"/>
        </w:rPr>
        <w:t xml:space="preserve">et </w:t>
      </w:r>
      <w:r w:rsidRPr="007B48D6">
        <w:rPr>
          <w:rFonts w:ascii="Arial Narrow" w:hAnsi="Arial Narrow"/>
        </w:rPr>
        <w:t xml:space="preserve">la Société </w:t>
      </w:r>
      <w:proofErr w:type="spellStart"/>
      <w:r w:rsidRPr="007B48D6">
        <w:rPr>
          <w:rFonts w:ascii="Arial Narrow" w:hAnsi="Arial Narrow"/>
        </w:rPr>
        <w:t>Biogene</w:t>
      </w:r>
      <w:proofErr w:type="spellEnd"/>
      <w:r>
        <w:rPr>
          <w:rFonts w:ascii="Arial Narrow" w:hAnsi="Arial Narrow"/>
        </w:rPr>
        <w:t xml:space="preserve"> (USA) </w:t>
      </w:r>
      <w:r w:rsidRPr="007B48D6">
        <w:rPr>
          <w:rFonts w:ascii="Arial Narrow" w:hAnsi="Arial Narrow"/>
        </w:rPr>
        <w:t>ont</w:t>
      </w:r>
      <w:r>
        <w:rPr>
          <w:rFonts w:ascii="Arial Narrow" w:hAnsi="Arial Narrow"/>
        </w:rPr>
        <w:t xml:space="preserve"> permis de conduire un </w:t>
      </w:r>
      <w:r>
        <w:rPr>
          <w:rFonts w:ascii="Arial Narrow" w:hAnsi="Arial Narrow"/>
          <w:sz w:val="24"/>
        </w:rPr>
        <w:t xml:space="preserve">essai clinique sur </w:t>
      </w:r>
      <w:r w:rsidRPr="0010628D">
        <w:rPr>
          <w:rFonts w:ascii="Arial Narrow" w:hAnsi="Arial Narrow"/>
          <w:sz w:val="24"/>
        </w:rPr>
        <w:t>Interféron</w:t>
      </w:r>
      <w:r>
        <w:rPr>
          <w:rFonts w:ascii="Arial Narrow" w:hAnsi="Arial Narrow"/>
          <w:sz w:val="24"/>
        </w:rPr>
        <w:t xml:space="preserve"> bêta 1a,</w:t>
      </w:r>
      <w:r w:rsidRPr="0010628D">
        <w:rPr>
          <w:rFonts w:ascii="Arial Narrow" w:hAnsi="Arial Narrow"/>
          <w:sz w:val="24"/>
        </w:rPr>
        <w:t xml:space="preserve"> comme traitement des malades Ébola au CTE de </w:t>
      </w:r>
      <w:proofErr w:type="spellStart"/>
      <w:r w:rsidRPr="0010628D">
        <w:rPr>
          <w:rFonts w:ascii="Arial Narrow" w:hAnsi="Arial Narrow"/>
          <w:sz w:val="24"/>
        </w:rPr>
        <w:t>Wonkinfong</w:t>
      </w:r>
      <w:proofErr w:type="spellEnd"/>
      <w:r w:rsidRPr="0010628D">
        <w:rPr>
          <w:rFonts w:ascii="Arial Narrow" w:hAnsi="Arial Narrow"/>
          <w:sz w:val="24"/>
        </w:rPr>
        <w:t xml:space="preserve"> de Coyah</w:t>
      </w:r>
      <w:r>
        <w:rPr>
          <w:rFonts w:ascii="Arial Narrow" w:hAnsi="Arial Narrow"/>
          <w:sz w:val="24"/>
        </w:rPr>
        <w:t>.  L</w:t>
      </w:r>
      <w:r w:rsidRPr="0010628D">
        <w:rPr>
          <w:rFonts w:ascii="Arial Narrow" w:hAnsi="Arial Narrow"/>
          <w:sz w:val="24"/>
        </w:rPr>
        <w:t>es résultats ont été publi</w:t>
      </w:r>
      <w:r>
        <w:rPr>
          <w:rFonts w:ascii="Arial Narrow" w:hAnsi="Arial Narrow"/>
          <w:sz w:val="24"/>
        </w:rPr>
        <w:t xml:space="preserve">és </w:t>
      </w:r>
      <w:r w:rsidRPr="0010628D">
        <w:rPr>
          <w:rFonts w:ascii="Arial Narrow" w:hAnsi="Arial Narrow"/>
          <w:sz w:val="24"/>
        </w:rPr>
        <w:t>dans revue scientifique</w:t>
      </w:r>
      <w:r>
        <w:rPr>
          <w:rFonts w:ascii="Arial Narrow" w:hAnsi="Arial Narrow"/>
          <w:sz w:val="24"/>
        </w:rPr>
        <w:t xml:space="preserve"> </w:t>
      </w:r>
      <w:r w:rsidRPr="0010628D">
        <w:rPr>
          <w:rFonts w:ascii="Arial Narrow" w:hAnsi="Arial Narrow"/>
          <w:sz w:val="24"/>
        </w:rPr>
        <w:t>(PLOS One)</w:t>
      </w:r>
      <w:r>
        <w:rPr>
          <w:rStyle w:val="Appelnotedebasdep"/>
          <w:rFonts w:ascii="Arial Narrow" w:hAnsi="Arial Narrow"/>
        </w:rPr>
        <w:footnoteReference w:id="2"/>
      </w:r>
      <w:r w:rsidRPr="0010628D">
        <w:rPr>
          <w:rFonts w:ascii="Arial Narrow" w:hAnsi="Arial Narrow"/>
          <w:sz w:val="24"/>
        </w:rPr>
        <w:t>.</w:t>
      </w:r>
    </w:p>
    <w:p w14:paraId="6511A211" w14:textId="77777777" w:rsidR="000B3DD8" w:rsidRPr="00C96D73" w:rsidRDefault="000B3DD8" w:rsidP="000B3DD8">
      <w:pPr>
        <w:pStyle w:val="Paragraphedeliste"/>
        <w:numPr>
          <w:ilvl w:val="0"/>
          <w:numId w:val="7"/>
        </w:numPr>
        <w:spacing w:after="200" w:line="276" w:lineRule="auto"/>
        <w:jc w:val="both"/>
        <w:rPr>
          <w:rFonts w:ascii="Arial Narrow" w:hAnsi="Arial Narrow"/>
          <w:sz w:val="24"/>
          <w:szCs w:val="24"/>
        </w:rPr>
      </w:pPr>
      <w:r>
        <w:rPr>
          <w:rFonts w:ascii="Arial Narrow" w:hAnsi="Arial Narrow"/>
          <w:sz w:val="24"/>
        </w:rPr>
        <w:t xml:space="preserve">L’Université de Kent (UK), </w:t>
      </w:r>
      <w:r w:rsidRPr="000F3A47">
        <w:rPr>
          <w:rFonts w:ascii="Arial Narrow" w:hAnsi="Arial Narrow"/>
          <w:sz w:val="24"/>
          <w:szCs w:val="24"/>
        </w:rPr>
        <w:t xml:space="preserve">une mission exploratoire </w:t>
      </w:r>
      <w:r>
        <w:rPr>
          <w:rFonts w:ascii="Arial Narrow" w:hAnsi="Arial Narrow"/>
          <w:sz w:val="24"/>
          <w:szCs w:val="24"/>
        </w:rPr>
        <w:t xml:space="preserve">a été conduite </w:t>
      </w:r>
      <w:r w:rsidRPr="000F3A47">
        <w:rPr>
          <w:rFonts w:ascii="Arial Narrow" w:hAnsi="Arial Narrow"/>
          <w:sz w:val="24"/>
          <w:szCs w:val="24"/>
        </w:rPr>
        <w:t xml:space="preserve">en Guinée </w:t>
      </w:r>
      <w:r>
        <w:rPr>
          <w:rFonts w:ascii="Arial Narrow" w:hAnsi="Arial Narrow"/>
          <w:sz w:val="24"/>
          <w:szCs w:val="24"/>
        </w:rPr>
        <w:t>Forestière</w:t>
      </w:r>
      <w:r w:rsidRPr="000F3A47">
        <w:rPr>
          <w:rFonts w:ascii="Arial Narrow" w:hAnsi="Arial Narrow"/>
          <w:sz w:val="24"/>
          <w:szCs w:val="24"/>
        </w:rPr>
        <w:t xml:space="preserve">, pour l’identification de potentiels axes de recherche pluridisciplinaire en science sociale après l’épidémie Ébola (Prof Michael </w:t>
      </w:r>
      <w:proofErr w:type="spellStart"/>
      <w:r w:rsidRPr="000F3A47">
        <w:rPr>
          <w:rFonts w:ascii="Arial Narrow" w:hAnsi="Arial Narrow"/>
          <w:sz w:val="24"/>
          <w:szCs w:val="24"/>
        </w:rPr>
        <w:t>Calnan</w:t>
      </w:r>
      <w:proofErr w:type="spellEnd"/>
      <w:r w:rsidRPr="000F3A47">
        <w:rPr>
          <w:rFonts w:ascii="Arial Narrow" w:hAnsi="Arial Narrow"/>
          <w:sz w:val="24"/>
          <w:szCs w:val="24"/>
        </w:rPr>
        <w:t xml:space="preserve">) </w:t>
      </w:r>
      <w:r w:rsidRPr="000F3A47">
        <w:rPr>
          <w:rStyle w:val="Appelnotedebasdep"/>
          <w:rFonts w:ascii="Arial Narrow" w:hAnsi="Arial Narrow"/>
        </w:rPr>
        <w:footnoteReference w:id="3"/>
      </w:r>
      <w:r w:rsidRPr="000F3A47">
        <w:rPr>
          <w:rFonts w:ascii="Arial Narrow" w:hAnsi="Arial Narrow"/>
          <w:sz w:val="24"/>
          <w:szCs w:val="24"/>
        </w:rPr>
        <w:t>. De nombreux partenaires ont été approchés dont l’</w:t>
      </w:r>
      <w:r>
        <w:rPr>
          <w:rFonts w:ascii="Arial Narrow" w:hAnsi="Arial Narrow"/>
          <w:sz w:val="24"/>
          <w:szCs w:val="24"/>
        </w:rPr>
        <w:t>Agence Nationale de Sécurité Sanitaire (</w:t>
      </w:r>
      <w:r w:rsidRPr="000F3A47">
        <w:rPr>
          <w:rFonts w:ascii="Arial Narrow" w:hAnsi="Arial Narrow"/>
          <w:sz w:val="24"/>
          <w:szCs w:val="24"/>
        </w:rPr>
        <w:t>ANSS</w:t>
      </w:r>
      <w:r>
        <w:rPr>
          <w:rFonts w:ascii="Arial Narrow" w:hAnsi="Arial Narrow"/>
          <w:sz w:val="24"/>
          <w:szCs w:val="24"/>
        </w:rPr>
        <w:t xml:space="preserve">). </w:t>
      </w:r>
      <w:r w:rsidRPr="00C96D73">
        <w:rPr>
          <w:rFonts w:ascii="Arial Narrow" w:hAnsi="Arial Narrow"/>
          <w:sz w:val="24"/>
          <w:szCs w:val="24"/>
        </w:rPr>
        <w:t>Ces travaux préliminaires ont fait l’objet d’une publication scientifique</w:t>
      </w:r>
      <w:r w:rsidRPr="000F3A47">
        <w:rPr>
          <w:rStyle w:val="Appelnotedebasdep"/>
          <w:rFonts w:ascii="Arial Narrow" w:hAnsi="Arial Narrow"/>
        </w:rPr>
        <w:footnoteReference w:id="4"/>
      </w:r>
      <w:r w:rsidRPr="00C96D73">
        <w:rPr>
          <w:rFonts w:ascii="Arial Narrow" w:hAnsi="Arial Narrow"/>
          <w:sz w:val="24"/>
          <w:szCs w:val="24"/>
        </w:rPr>
        <w:t xml:space="preserve"> et un projet soumis à financement à </w:t>
      </w:r>
      <w:proofErr w:type="spellStart"/>
      <w:r w:rsidRPr="00C96D73">
        <w:rPr>
          <w:rFonts w:ascii="Arial Narrow" w:hAnsi="Arial Narrow"/>
          <w:sz w:val="24"/>
          <w:szCs w:val="24"/>
        </w:rPr>
        <w:t>Welcome</w:t>
      </w:r>
      <w:proofErr w:type="spellEnd"/>
      <w:r w:rsidRPr="00C96D73">
        <w:rPr>
          <w:rFonts w:ascii="Arial Narrow" w:hAnsi="Arial Narrow"/>
          <w:sz w:val="24"/>
          <w:szCs w:val="24"/>
        </w:rPr>
        <w:t xml:space="preserve"> Trust (Trust Breaking and </w:t>
      </w:r>
      <w:proofErr w:type="spellStart"/>
      <w:r w:rsidRPr="00C96D73">
        <w:rPr>
          <w:rFonts w:ascii="Arial Narrow" w:hAnsi="Arial Narrow"/>
          <w:sz w:val="24"/>
          <w:szCs w:val="24"/>
        </w:rPr>
        <w:t>Making</w:t>
      </w:r>
      <w:proofErr w:type="spellEnd"/>
      <w:r w:rsidRPr="00C96D73">
        <w:rPr>
          <w:rFonts w:ascii="Arial Narrow" w:hAnsi="Arial Narrow"/>
          <w:sz w:val="24"/>
          <w:szCs w:val="24"/>
        </w:rPr>
        <w:t xml:space="preserve"> in Public </w:t>
      </w:r>
      <w:proofErr w:type="spellStart"/>
      <w:r w:rsidRPr="00C96D73">
        <w:rPr>
          <w:rFonts w:ascii="Arial Narrow" w:hAnsi="Arial Narrow"/>
          <w:sz w:val="24"/>
          <w:szCs w:val="24"/>
        </w:rPr>
        <w:t>Health</w:t>
      </w:r>
      <w:proofErr w:type="spellEnd"/>
      <w:r w:rsidRPr="00C96D73">
        <w:rPr>
          <w:rFonts w:ascii="Arial Narrow" w:hAnsi="Arial Narrow"/>
          <w:sz w:val="24"/>
          <w:szCs w:val="24"/>
        </w:rPr>
        <w:t xml:space="preserve"> </w:t>
      </w:r>
      <w:proofErr w:type="spellStart"/>
      <w:r w:rsidRPr="00C96D73">
        <w:rPr>
          <w:rFonts w:ascii="Arial Narrow" w:hAnsi="Arial Narrow"/>
          <w:sz w:val="24"/>
          <w:szCs w:val="24"/>
        </w:rPr>
        <w:t>responses</w:t>
      </w:r>
      <w:proofErr w:type="spellEnd"/>
      <w:r w:rsidRPr="00C96D73">
        <w:rPr>
          <w:rFonts w:ascii="Arial Narrow" w:hAnsi="Arial Narrow"/>
          <w:sz w:val="24"/>
          <w:szCs w:val="24"/>
        </w:rPr>
        <w:t xml:space="preserve"> to </w:t>
      </w:r>
      <w:proofErr w:type="spellStart"/>
      <w:proofErr w:type="gramStart"/>
      <w:r w:rsidRPr="00C96D73">
        <w:rPr>
          <w:rFonts w:ascii="Arial Narrow" w:hAnsi="Arial Narrow"/>
          <w:sz w:val="24"/>
          <w:szCs w:val="24"/>
        </w:rPr>
        <w:t>Epidemics</w:t>
      </w:r>
      <w:proofErr w:type="spellEnd"/>
      <w:r w:rsidRPr="00C96D73">
        <w:rPr>
          <w:rFonts w:ascii="Arial Narrow" w:hAnsi="Arial Narrow"/>
          <w:sz w:val="24"/>
          <w:szCs w:val="24"/>
        </w:rPr>
        <w:t>:</w:t>
      </w:r>
      <w:proofErr w:type="gramEnd"/>
      <w:r w:rsidRPr="00C96D73">
        <w:rPr>
          <w:rFonts w:ascii="Arial Narrow" w:hAnsi="Arial Narrow"/>
          <w:sz w:val="24"/>
          <w:szCs w:val="24"/>
        </w:rPr>
        <w:t xml:space="preserve"> the case of the 2013-16 West </w:t>
      </w:r>
      <w:proofErr w:type="spellStart"/>
      <w:r w:rsidRPr="00C96D73">
        <w:rPr>
          <w:rFonts w:ascii="Arial Narrow" w:hAnsi="Arial Narrow"/>
          <w:sz w:val="24"/>
          <w:szCs w:val="24"/>
        </w:rPr>
        <w:t>Africa</w:t>
      </w:r>
      <w:proofErr w:type="spellEnd"/>
      <w:r w:rsidRPr="00C96D73">
        <w:rPr>
          <w:rFonts w:ascii="Arial Narrow" w:hAnsi="Arial Narrow"/>
          <w:sz w:val="24"/>
          <w:szCs w:val="24"/>
        </w:rPr>
        <w:t xml:space="preserve"> Ebola </w:t>
      </w:r>
      <w:proofErr w:type="spellStart"/>
      <w:r w:rsidRPr="00C96D73">
        <w:rPr>
          <w:rFonts w:ascii="Arial Narrow" w:hAnsi="Arial Narrow"/>
          <w:sz w:val="24"/>
          <w:szCs w:val="24"/>
        </w:rPr>
        <w:t>outbreak</w:t>
      </w:r>
      <w:proofErr w:type="spellEnd"/>
      <w:r w:rsidRPr="00C96D73">
        <w:rPr>
          <w:rFonts w:ascii="Arial Narrow" w:hAnsi="Arial Narrow"/>
          <w:sz w:val="24"/>
          <w:szCs w:val="24"/>
        </w:rPr>
        <w:t>).</w:t>
      </w:r>
      <w:r w:rsidRPr="000F3A47">
        <w:rPr>
          <w:rStyle w:val="Appelnotedebasdep"/>
          <w:rFonts w:ascii="Arial Narrow" w:hAnsi="Arial Narrow"/>
        </w:rPr>
        <w:footnoteReference w:id="5"/>
      </w:r>
      <w:r w:rsidRPr="00C96D73">
        <w:rPr>
          <w:rFonts w:ascii="Arial Narrow" w:hAnsi="Arial Narrow"/>
          <w:sz w:val="24"/>
          <w:szCs w:val="24"/>
        </w:rPr>
        <w:t xml:space="preserve"> </w:t>
      </w:r>
    </w:p>
    <w:p w14:paraId="70836327" w14:textId="77777777" w:rsidR="000B3DD8" w:rsidRPr="005E0AE3" w:rsidRDefault="000B3DD8" w:rsidP="000B3DD8">
      <w:pPr>
        <w:pStyle w:val="Paragraphedeliste"/>
        <w:numPr>
          <w:ilvl w:val="0"/>
          <w:numId w:val="7"/>
        </w:numPr>
        <w:spacing w:after="200" w:line="276" w:lineRule="auto"/>
        <w:jc w:val="both"/>
        <w:rPr>
          <w:rFonts w:ascii="Arial Narrow" w:hAnsi="Arial Narrow"/>
          <w:sz w:val="24"/>
          <w:szCs w:val="24"/>
        </w:rPr>
      </w:pPr>
      <w:r>
        <w:rPr>
          <w:rFonts w:ascii="Arial Narrow" w:hAnsi="Arial Narrow"/>
          <w:sz w:val="24"/>
        </w:rPr>
        <w:t xml:space="preserve">Le </w:t>
      </w:r>
      <w:r w:rsidRPr="00FD5651">
        <w:rPr>
          <w:rFonts w:ascii="Arial Narrow" w:hAnsi="Arial Narrow"/>
        </w:rPr>
        <w:t>Projet EVIDENT</w:t>
      </w:r>
      <w:r>
        <w:rPr>
          <w:rFonts w:ascii="Arial Narrow" w:hAnsi="Arial Narrow"/>
        </w:rPr>
        <w:t xml:space="preserve"> (Financement de l’Union Européenne UE) </w:t>
      </w:r>
      <w:r w:rsidRPr="00FD5651">
        <w:rPr>
          <w:rFonts w:ascii="Arial Narrow" w:hAnsi="Arial Narrow"/>
        </w:rPr>
        <w:t>sur l’Immunologie des Survivants Ébola</w:t>
      </w:r>
      <w:r w:rsidRPr="00D210FE">
        <w:rPr>
          <w:rFonts w:ascii="Arial Narrow" w:hAnsi="Arial Narrow"/>
          <w:sz w:val="24"/>
        </w:rPr>
        <w:t xml:space="preserve"> (CEFORPAG, Public </w:t>
      </w:r>
      <w:proofErr w:type="spellStart"/>
      <w:r w:rsidRPr="005E0AE3">
        <w:rPr>
          <w:rFonts w:ascii="Arial Narrow" w:hAnsi="Arial Narrow"/>
          <w:sz w:val="24"/>
          <w:szCs w:val="24"/>
        </w:rPr>
        <w:t>Health</w:t>
      </w:r>
      <w:proofErr w:type="spellEnd"/>
      <w:r w:rsidRPr="005E0AE3">
        <w:rPr>
          <w:rFonts w:ascii="Arial Narrow" w:hAnsi="Arial Narrow"/>
          <w:sz w:val="24"/>
          <w:szCs w:val="24"/>
        </w:rPr>
        <w:t xml:space="preserve"> </w:t>
      </w:r>
      <w:proofErr w:type="spellStart"/>
      <w:r w:rsidRPr="005E0AE3">
        <w:rPr>
          <w:rFonts w:ascii="Arial Narrow" w:hAnsi="Arial Narrow"/>
          <w:sz w:val="24"/>
          <w:szCs w:val="24"/>
        </w:rPr>
        <w:t>England</w:t>
      </w:r>
      <w:proofErr w:type="spellEnd"/>
      <w:r w:rsidRPr="005E0AE3">
        <w:rPr>
          <w:rFonts w:ascii="Arial Narrow" w:hAnsi="Arial Narrow"/>
          <w:sz w:val="24"/>
          <w:szCs w:val="24"/>
        </w:rPr>
        <w:t xml:space="preserve"> - PHE, UK ; Institut de </w:t>
      </w:r>
      <w:proofErr w:type="spellStart"/>
      <w:r w:rsidRPr="005E0AE3">
        <w:rPr>
          <w:rFonts w:ascii="Arial Narrow" w:hAnsi="Arial Narrow"/>
          <w:sz w:val="24"/>
          <w:szCs w:val="24"/>
        </w:rPr>
        <w:t>Medicine</w:t>
      </w:r>
      <w:proofErr w:type="spellEnd"/>
      <w:r w:rsidRPr="005E0AE3">
        <w:rPr>
          <w:rFonts w:ascii="Arial Narrow" w:hAnsi="Arial Narrow"/>
          <w:sz w:val="24"/>
          <w:szCs w:val="24"/>
        </w:rPr>
        <w:t xml:space="preserve"> tropical de </w:t>
      </w:r>
      <w:proofErr w:type="spellStart"/>
      <w:r w:rsidRPr="005E0AE3">
        <w:rPr>
          <w:rFonts w:ascii="Arial Narrow" w:hAnsi="Arial Narrow"/>
          <w:sz w:val="24"/>
          <w:szCs w:val="24"/>
        </w:rPr>
        <w:t>Hamburg</w:t>
      </w:r>
      <w:proofErr w:type="spellEnd"/>
      <w:r w:rsidRPr="005E0AE3">
        <w:rPr>
          <w:rFonts w:ascii="Arial Narrow" w:hAnsi="Arial Narrow"/>
          <w:sz w:val="24"/>
          <w:szCs w:val="24"/>
        </w:rPr>
        <w:t xml:space="preserve">) </w:t>
      </w:r>
      <w:r>
        <w:rPr>
          <w:rFonts w:ascii="Arial Narrow" w:hAnsi="Arial Narrow"/>
          <w:sz w:val="24"/>
          <w:szCs w:val="24"/>
        </w:rPr>
        <w:t xml:space="preserve">avec </w:t>
      </w:r>
      <w:r w:rsidRPr="005E0AE3">
        <w:rPr>
          <w:rFonts w:ascii="Arial Narrow" w:hAnsi="Arial Narrow"/>
          <w:sz w:val="24"/>
          <w:szCs w:val="24"/>
        </w:rPr>
        <w:t>le suivi longitudinal (5 ans) de la durée de l’immunité des survivants Ébola. Elle a permis de suivre pour la cohorte de Coyah, 125 participants dont 70 survivants, 50 contacts et 5 contrôles négatifs. Les résultats préliminaires encourageants à la 3</w:t>
      </w:r>
      <w:r w:rsidRPr="005E0AE3">
        <w:rPr>
          <w:rFonts w:ascii="Arial Narrow" w:hAnsi="Arial Narrow"/>
          <w:sz w:val="24"/>
          <w:szCs w:val="24"/>
          <w:vertAlign w:val="superscript"/>
        </w:rPr>
        <w:t>ème</w:t>
      </w:r>
      <w:r w:rsidRPr="005E0AE3">
        <w:rPr>
          <w:rFonts w:ascii="Arial Narrow" w:hAnsi="Arial Narrow"/>
          <w:sz w:val="24"/>
          <w:szCs w:val="24"/>
        </w:rPr>
        <w:t xml:space="preserve"> année </w:t>
      </w:r>
      <w:r>
        <w:rPr>
          <w:rFonts w:ascii="Arial Narrow" w:hAnsi="Arial Narrow"/>
          <w:sz w:val="24"/>
          <w:szCs w:val="24"/>
        </w:rPr>
        <w:t xml:space="preserve">ont </w:t>
      </w:r>
      <w:proofErr w:type="gramStart"/>
      <w:r w:rsidRPr="005E0AE3">
        <w:rPr>
          <w:rFonts w:ascii="Arial Narrow" w:hAnsi="Arial Narrow"/>
          <w:sz w:val="24"/>
          <w:szCs w:val="24"/>
        </w:rPr>
        <w:t>mont</w:t>
      </w:r>
      <w:r>
        <w:rPr>
          <w:rFonts w:ascii="Arial Narrow" w:hAnsi="Arial Narrow"/>
          <w:sz w:val="24"/>
          <w:szCs w:val="24"/>
        </w:rPr>
        <w:t>rés</w:t>
      </w:r>
      <w:proofErr w:type="gramEnd"/>
      <w:r>
        <w:rPr>
          <w:rFonts w:ascii="Arial Narrow" w:hAnsi="Arial Narrow"/>
          <w:sz w:val="24"/>
          <w:szCs w:val="24"/>
        </w:rPr>
        <w:t xml:space="preserve"> </w:t>
      </w:r>
      <w:r w:rsidRPr="005E0AE3">
        <w:rPr>
          <w:rFonts w:ascii="Arial Narrow" w:hAnsi="Arial Narrow"/>
          <w:sz w:val="24"/>
          <w:szCs w:val="24"/>
        </w:rPr>
        <w:t>que la protection conférée par les survivants est 10 fois supérieure à ceux qui ont été vaccinés avec le Vaccin anti-Ébola (</w:t>
      </w:r>
      <w:proofErr w:type="spellStart"/>
      <w:r w:rsidRPr="005E0AE3">
        <w:rPr>
          <w:rFonts w:ascii="Arial Narrow" w:hAnsi="Arial Narrow"/>
          <w:sz w:val="24"/>
          <w:szCs w:val="24"/>
        </w:rPr>
        <w:t>rVSV</w:t>
      </w:r>
      <w:proofErr w:type="spellEnd"/>
      <w:r w:rsidRPr="005E0AE3">
        <w:rPr>
          <w:rFonts w:ascii="Arial Narrow" w:hAnsi="Arial Narrow"/>
          <w:sz w:val="24"/>
          <w:szCs w:val="24"/>
        </w:rPr>
        <w:t xml:space="preserve"> de Merck). Certains participants de l’étude comme contrôles négatifs ont aussi montré une immunité significative, témoignant de leur exposition et très probablement ayant fait des formes frustes ou asymptomatiques de la maladie à virus Ébola (MVE).</w:t>
      </w:r>
    </w:p>
    <w:p w14:paraId="7B7FCE78" w14:textId="77777777" w:rsidR="000B3DD8" w:rsidRPr="005E0AE3" w:rsidRDefault="000B3DD8" w:rsidP="000B3DD8">
      <w:pPr>
        <w:pStyle w:val="Paragraphedeliste"/>
        <w:numPr>
          <w:ilvl w:val="0"/>
          <w:numId w:val="7"/>
        </w:numPr>
        <w:spacing w:after="200" w:line="276" w:lineRule="auto"/>
        <w:jc w:val="both"/>
        <w:rPr>
          <w:rFonts w:ascii="Arial Narrow" w:hAnsi="Arial Narrow"/>
          <w:sz w:val="24"/>
          <w:szCs w:val="24"/>
        </w:rPr>
      </w:pPr>
      <w:r w:rsidRPr="005E0AE3">
        <w:rPr>
          <w:rFonts w:ascii="Arial Narrow" w:hAnsi="Arial Narrow"/>
          <w:sz w:val="24"/>
          <w:szCs w:val="24"/>
        </w:rPr>
        <w:t xml:space="preserve">L’Université Toronto, parallèlement une étude de suivi à long terme de la cohorte de survivants Ébola à Coyah (SUIVEBOV) ; elle a pour but d’évaluer l’impact de la MVE sur les survivants tant du point de vue médical, hématologique, biochimique, ORL, Ophtalmo, psycho social et immunologique. </w:t>
      </w:r>
    </w:p>
    <w:p w14:paraId="7120C2CF" w14:textId="77777777" w:rsidR="000B3DD8" w:rsidRPr="005E0AE3" w:rsidRDefault="000B3DD8" w:rsidP="000B3DD8">
      <w:pPr>
        <w:pStyle w:val="Paragraphedeliste"/>
        <w:numPr>
          <w:ilvl w:val="0"/>
          <w:numId w:val="7"/>
        </w:numPr>
        <w:spacing w:after="200" w:line="276" w:lineRule="auto"/>
        <w:jc w:val="both"/>
        <w:rPr>
          <w:rFonts w:ascii="Arial Narrow" w:hAnsi="Arial Narrow"/>
          <w:sz w:val="24"/>
          <w:szCs w:val="24"/>
        </w:rPr>
      </w:pPr>
      <w:r w:rsidRPr="005E0AE3">
        <w:rPr>
          <w:rFonts w:ascii="Arial Narrow" w:hAnsi="Arial Narrow"/>
          <w:sz w:val="24"/>
          <w:szCs w:val="24"/>
        </w:rPr>
        <w:t xml:space="preserve">La London </w:t>
      </w:r>
      <w:proofErr w:type="spellStart"/>
      <w:r w:rsidRPr="005E0AE3">
        <w:rPr>
          <w:rFonts w:ascii="Arial Narrow" w:hAnsi="Arial Narrow"/>
          <w:sz w:val="24"/>
          <w:szCs w:val="24"/>
        </w:rPr>
        <w:t>school</w:t>
      </w:r>
      <w:proofErr w:type="spellEnd"/>
      <w:r w:rsidRPr="005E0AE3">
        <w:rPr>
          <w:rFonts w:ascii="Arial Narrow" w:hAnsi="Arial Narrow"/>
          <w:sz w:val="24"/>
          <w:szCs w:val="24"/>
        </w:rPr>
        <w:t xml:space="preserve"> of </w:t>
      </w:r>
      <w:proofErr w:type="spellStart"/>
      <w:r w:rsidRPr="005E0AE3">
        <w:rPr>
          <w:rFonts w:ascii="Arial Narrow" w:hAnsi="Arial Narrow"/>
          <w:sz w:val="24"/>
          <w:szCs w:val="24"/>
        </w:rPr>
        <w:t>Hygiene</w:t>
      </w:r>
      <w:proofErr w:type="spellEnd"/>
      <w:r w:rsidRPr="005E0AE3">
        <w:rPr>
          <w:rFonts w:ascii="Arial Narrow" w:hAnsi="Arial Narrow"/>
          <w:sz w:val="24"/>
          <w:szCs w:val="24"/>
        </w:rPr>
        <w:t xml:space="preserve"> &amp; Tropical </w:t>
      </w:r>
      <w:proofErr w:type="spellStart"/>
      <w:r w:rsidRPr="005E0AE3">
        <w:rPr>
          <w:rFonts w:ascii="Arial Narrow" w:hAnsi="Arial Narrow"/>
          <w:sz w:val="24"/>
          <w:szCs w:val="24"/>
        </w:rPr>
        <w:t>Medecine</w:t>
      </w:r>
      <w:proofErr w:type="spellEnd"/>
      <w:r w:rsidRPr="005E0AE3">
        <w:rPr>
          <w:rFonts w:ascii="Arial Narrow" w:hAnsi="Arial Narrow"/>
          <w:sz w:val="24"/>
          <w:szCs w:val="24"/>
        </w:rPr>
        <w:t>, a financé une recherche explorant le risque de transmission sexuelle de la MVE (</w:t>
      </w:r>
      <w:r>
        <w:rPr>
          <w:rFonts w:ascii="Arial Narrow" w:hAnsi="Arial Narrow"/>
          <w:sz w:val="24"/>
          <w:szCs w:val="24"/>
        </w:rPr>
        <w:t>E</w:t>
      </w:r>
      <w:r w:rsidRPr="005E0AE3">
        <w:rPr>
          <w:rFonts w:ascii="Arial Narrow" w:hAnsi="Arial Narrow"/>
          <w:sz w:val="24"/>
          <w:szCs w:val="24"/>
        </w:rPr>
        <w:t>BOSEX)</w:t>
      </w:r>
      <w:r w:rsidRPr="005E0AE3">
        <w:rPr>
          <w:rStyle w:val="Appelnotedebasdep"/>
          <w:rFonts w:ascii="Arial Narrow" w:hAnsi="Arial Narrow"/>
        </w:rPr>
        <w:footnoteReference w:id="6"/>
      </w:r>
      <w:r w:rsidRPr="005E0AE3">
        <w:rPr>
          <w:rFonts w:ascii="Arial Narrow" w:hAnsi="Arial Narrow"/>
          <w:sz w:val="24"/>
          <w:szCs w:val="24"/>
        </w:rPr>
        <w:t xml:space="preserve">. Il s’agit d’une enquête </w:t>
      </w:r>
      <w:proofErr w:type="spellStart"/>
      <w:r w:rsidRPr="005E0AE3">
        <w:rPr>
          <w:rFonts w:ascii="Arial Narrow" w:hAnsi="Arial Narrow"/>
          <w:sz w:val="24"/>
          <w:szCs w:val="24"/>
        </w:rPr>
        <w:t>bio-médicale</w:t>
      </w:r>
      <w:proofErr w:type="spellEnd"/>
      <w:r w:rsidRPr="005E0AE3">
        <w:rPr>
          <w:rFonts w:ascii="Arial Narrow" w:hAnsi="Arial Narrow"/>
          <w:sz w:val="24"/>
          <w:szCs w:val="24"/>
        </w:rPr>
        <w:t xml:space="preserve"> et socio-anthropologique descriptive et transversale sur les pratiques sexuels et le risque de transmission </w:t>
      </w:r>
      <w:r w:rsidRPr="005E0AE3">
        <w:rPr>
          <w:rFonts w:ascii="Arial Narrow" w:hAnsi="Arial Narrow"/>
          <w:sz w:val="24"/>
          <w:szCs w:val="24"/>
        </w:rPr>
        <w:lastRenderedPageBreak/>
        <w:t xml:space="preserve">par voir sexuelle de la MVE. Elle a été réalisée entièrement par une équipe Guinéenne mixte composée de la FOSAD-CEFORPAG pour la composante épidémiologie et du Laboratoire de socio-anthropologie (LASAG) de l’Université Lansana Conté de </w:t>
      </w:r>
      <w:proofErr w:type="spellStart"/>
      <w:r w:rsidRPr="005E0AE3">
        <w:rPr>
          <w:rFonts w:ascii="Arial Narrow" w:hAnsi="Arial Narrow"/>
          <w:sz w:val="24"/>
          <w:szCs w:val="24"/>
        </w:rPr>
        <w:t>Sonfonia</w:t>
      </w:r>
      <w:proofErr w:type="spellEnd"/>
      <w:r w:rsidRPr="005E0AE3">
        <w:rPr>
          <w:rFonts w:ascii="Arial Narrow" w:hAnsi="Arial Narrow"/>
          <w:sz w:val="24"/>
          <w:szCs w:val="24"/>
        </w:rPr>
        <w:t xml:space="preserve"> pour les dimensions socio-anthropologie. Les enquêtes se sont déroulées du 21 Avril 2016 au 21 Juin 2016 dans les localités de 5 Préfectures de la Guinée : Forécariah, Coyah, Conakry, Macenta et </w:t>
      </w:r>
      <w:proofErr w:type="spellStart"/>
      <w:r w:rsidRPr="005E0AE3">
        <w:rPr>
          <w:rFonts w:ascii="Arial Narrow" w:hAnsi="Arial Narrow"/>
          <w:sz w:val="24"/>
          <w:szCs w:val="24"/>
        </w:rPr>
        <w:t>Gueckédou</w:t>
      </w:r>
      <w:proofErr w:type="spellEnd"/>
      <w:r w:rsidRPr="005E0AE3">
        <w:rPr>
          <w:rFonts w:ascii="Arial Narrow" w:hAnsi="Arial Narrow"/>
          <w:sz w:val="24"/>
          <w:szCs w:val="24"/>
        </w:rPr>
        <w:t xml:space="preserve">. Un total de 548 personnes a été investigué.  </w:t>
      </w:r>
    </w:p>
    <w:p w14:paraId="10DE6AB9" w14:textId="77777777" w:rsidR="000B3DD8" w:rsidRPr="005E0AE3" w:rsidRDefault="000B3DD8" w:rsidP="000B3DD8">
      <w:pPr>
        <w:pStyle w:val="Paragraphedeliste"/>
        <w:numPr>
          <w:ilvl w:val="0"/>
          <w:numId w:val="7"/>
        </w:numPr>
        <w:spacing w:after="200" w:line="276" w:lineRule="auto"/>
        <w:jc w:val="both"/>
        <w:rPr>
          <w:rFonts w:ascii="Arial Narrow" w:hAnsi="Arial Narrow"/>
          <w:sz w:val="24"/>
          <w:szCs w:val="24"/>
        </w:rPr>
      </w:pPr>
      <w:bookmarkStart w:id="17" w:name="_Toc411577739"/>
      <w:bookmarkStart w:id="18" w:name="_Toc411595611"/>
      <w:bookmarkStart w:id="19" w:name="_Toc479243961"/>
      <w:r w:rsidRPr="005E0AE3">
        <w:rPr>
          <w:rFonts w:ascii="Arial Narrow" w:hAnsi="Arial Narrow"/>
          <w:sz w:val="24"/>
          <w:szCs w:val="24"/>
        </w:rPr>
        <w:t>Projet Recherche sur la Fièvre de la vallée du Rift</w:t>
      </w:r>
      <w:bookmarkEnd w:id="17"/>
      <w:bookmarkEnd w:id="18"/>
      <w:r w:rsidRPr="005E0AE3">
        <w:rPr>
          <w:rFonts w:ascii="Arial Narrow" w:hAnsi="Arial Narrow"/>
          <w:sz w:val="24"/>
          <w:szCs w:val="24"/>
        </w:rPr>
        <w:t xml:space="preserve"> intitulé « Planning Grant for Rift Valley Fever and </w:t>
      </w:r>
      <w:proofErr w:type="spellStart"/>
      <w:r w:rsidRPr="005E0AE3">
        <w:rPr>
          <w:rFonts w:ascii="Arial Narrow" w:hAnsi="Arial Narrow"/>
          <w:sz w:val="24"/>
          <w:szCs w:val="24"/>
        </w:rPr>
        <w:t>Emerging</w:t>
      </w:r>
      <w:proofErr w:type="spellEnd"/>
      <w:r w:rsidRPr="005E0AE3">
        <w:rPr>
          <w:rFonts w:ascii="Arial Narrow" w:hAnsi="Arial Narrow"/>
          <w:sz w:val="24"/>
          <w:szCs w:val="24"/>
        </w:rPr>
        <w:t xml:space="preserve"> </w:t>
      </w:r>
      <w:proofErr w:type="spellStart"/>
      <w:r w:rsidRPr="005E0AE3">
        <w:rPr>
          <w:rFonts w:ascii="Arial Narrow" w:hAnsi="Arial Narrow"/>
          <w:sz w:val="24"/>
          <w:szCs w:val="24"/>
        </w:rPr>
        <w:t>Arboviral</w:t>
      </w:r>
      <w:proofErr w:type="spellEnd"/>
      <w:r w:rsidRPr="005E0AE3">
        <w:rPr>
          <w:rFonts w:ascii="Arial Narrow" w:hAnsi="Arial Narrow"/>
          <w:sz w:val="24"/>
          <w:szCs w:val="24"/>
        </w:rPr>
        <w:t xml:space="preserve"> Zoonoses </w:t>
      </w:r>
      <w:proofErr w:type="spellStart"/>
      <w:r w:rsidRPr="005E0AE3">
        <w:rPr>
          <w:rFonts w:ascii="Arial Narrow" w:hAnsi="Arial Narrow"/>
          <w:sz w:val="24"/>
          <w:szCs w:val="24"/>
        </w:rPr>
        <w:t>Research</w:t>
      </w:r>
      <w:proofErr w:type="spellEnd"/>
      <w:r w:rsidRPr="005E0AE3">
        <w:rPr>
          <w:rFonts w:ascii="Arial Narrow" w:hAnsi="Arial Narrow"/>
          <w:sz w:val="24"/>
          <w:szCs w:val="24"/>
        </w:rPr>
        <w:t xml:space="preserve"> Training in </w:t>
      </w:r>
      <w:proofErr w:type="spellStart"/>
      <w:r w:rsidRPr="005E0AE3">
        <w:rPr>
          <w:rFonts w:ascii="Arial Narrow" w:hAnsi="Arial Narrow"/>
          <w:sz w:val="24"/>
          <w:szCs w:val="24"/>
        </w:rPr>
        <w:t>Guinea</w:t>
      </w:r>
      <w:proofErr w:type="spellEnd"/>
      <w:r w:rsidRPr="005E0AE3">
        <w:rPr>
          <w:rFonts w:ascii="Arial Narrow" w:hAnsi="Arial Narrow"/>
          <w:sz w:val="24"/>
          <w:szCs w:val="24"/>
        </w:rPr>
        <w:t xml:space="preserve"> » a été préparé par un consortium de partenaires et investigateurs de l’Université </w:t>
      </w:r>
      <w:proofErr w:type="spellStart"/>
      <w:r w:rsidRPr="005E0AE3">
        <w:rPr>
          <w:rFonts w:ascii="Arial Narrow" w:hAnsi="Arial Narrow"/>
          <w:sz w:val="24"/>
          <w:szCs w:val="24"/>
        </w:rPr>
        <w:t>Georgestown</w:t>
      </w:r>
      <w:proofErr w:type="spellEnd"/>
      <w:r w:rsidRPr="005E0AE3">
        <w:rPr>
          <w:rFonts w:ascii="Arial Narrow" w:hAnsi="Arial Narrow"/>
          <w:sz w:val="24"/>
          <w:szCs w:val="24"/>
        </w:rPr>
        <w:t xml:space="preserve"> Washington, Kansas </w:t>
      </w:r>
      <w:proofErr w:type="spellStart"/>
      <w:r w:rsidRPr="005E0AE3">
        <w:rPr>
          <w:rFonts w:ascii="Arial Narrow" w:hAnsi="Arial Narrow"/>
          <w:sz w:val="24"/>
          <w:szCs w:val="24"/>
        </w:rPr>
        <w:t>University</w:t>
      </w:r>
      <w:proofErr w:type="spellEnd"/>
      <w:r w:rsidRPr="005E0AE3">
        <w:rPr>
          <w:rFonts w:ascii="Arial Narrow" w:hAnsi="Arial Narrow"/>
          <w:sz w:val="24"/>
          <w:szCs w:val="24"/>
        </w:rPr>
        <w:t xml:space="preserve"> (KSU-CEEZAD), Kenya </w:t>
      </w:r>
      <w:proofErr w:type="spellStart"/>
      <w:r w:rsidRPr="005E0AE3">
        <w:rPr>
          <w:rFonts w:ascii="Arial Narrow" w:hAnsi="Arial Narrow"/>
          <w:sz w:val="24"/>
          <w:szCs w:val="24"/>
        </w:rPr>
        <w:t>Zoonotic</w:t>
      </w:r>
      <w:proofErr w:type="spellEnd"/>
      <w:r w:rsidRPr="005E0AE3">
        <w:rPr>
          <w:rFonts w:ascii="Arial Narrow" w:hAnsi="Arial Narrow"/>
          <w:sz w:val="24"/>
          <w:szCs w:val="24"/>
        </w:rPr>
        <w:t xml:space="preserve"> </w:t>
      </w:r>
      <w:proofErr w:type="spellStart"/>
      <w:r w:rsidRPr="005E0AE3">
        <w:rPr>
          <w:rFonts w:ascii="Arial Narrow" w:hAnsi="Arial Narrow"/>
          <w:sz w:val="24"/>
          <w:szCs w:val="24"/>
        </w:rPr>
        <w:t>Disease</w:t>
      </w:r>
      <w:proofErr w:type="spellEnd"/>
      <w:r w:rsidRPr="005E0AE3">
        <w:rPr>
          <w:rFonts w:ascii="Arial Narrow" w:hAnsi="Arial Narrow"/>
          <w:sz w:val="24"/>
          <w:szCs w:val="24"/>
        </w:rPr>
        <w:t xml:space="preserve"> Unit (the Kenya ZDU), l’Institut Pasteur de Guinée (IPG), FOSAD-CEFORPAG.  Le but du projet de formation était de contribuer au un renforcement de capacité</w:t>
      </w:r>
      <w:r>
        <w:rPr>
          <w:rFonts w:ascii="Arial Narrow" w:hAnsi="Arial Narrow"/>
          <w:sz w:val="24"/>
          <w:szCs w:val="24"/>
        </w:rPr>
        <w:t>s</w:t>
      </w:r>
      <w:r w:rsidRPr="005E0AE3">
        <w:rPr>
          <w:rFonts w:ascii="Arial Narrow" w:hAnsi="Arial Narrow"/>
          <w:sz w:val="24"/>
          <w:szCs w:val="24"/>
        </w:rPr>
        <w:t xml:space="preserve"> durable</w:t>
      </w:r>
      <w:r>
        <w:rPr>
          <w:rFonts w:ascii="Arial Narrow" w:hAnsi="Arial Narrow"/>
          <w:sz w:val="24"/>
          <w:szCs w:val="24"/>
        </w:rPr>
        <w:t>s</w:t>
      </w:r>
      <w:r w:rsidRPr="005E0AE3">
        <w:rPr>
          <w:rFonts w:ascii="Arial Narrow" w:hAnsi="Arial Narrow"/>
          <w:sz w:val="24"/>
          <w:szCs w:val="24"/>
        </w:rPr>
        <w:t xml:space="preserve"> pour de future recherches épidémiologique, entomologique, environnementale, vétérinaire, laboratoire, et politique de recherche sur la Fièvre de la Vallée du Rift et d’autres </w:t>
      </w:r>
      <w:proofErr w:type="spellStart"/>
      <w:r w:rsidRPr="005E0AE3">
        <w:rPr>
          <w:rFonts w:ascii="Arial Narrow" w:hAnsi="Arial Narrow"/>
          <w:sz w:val="24"/>
          <w:szCs w:val="24"/>
        </w:rPr>
        <w:t>arbrovirus</w:t>
      </w:r>
      <w:proofErr w:type="spellEnd"/>
      <w:r w:rsidRPr="005E0AE3">
        <w:rPr>
          <w:rFonts w:ascii="Arial Narrow" w:hAnsi="Arial Narrow"/>
          <w:sz w:val="24"/>
          <w:szCs w:val="24"/>
        </w:rPr>
        <w:t xml:space="preserve"> et maladies </w:t>
      </w:r>
      <w:proofErr w:type="gramStart"/>
      <w:r w:rsidRPr="005E0AE3">
        <w:rPr>
          <w:rFonts w:ascii="Arial Narrow" w:hAnsi="Arial Narrow"/>
          <w:sz w:val="24"/>
          <w:szCs w:val="24"/>
        </w:rPr>
        <w:t>zoonotiques  en</w:t>
      </w:r>
      <w:proofErr w:type="gramEnd"/>
      <w:r w:rsidRPr="005E0AE3">
        <w:rPr>
          <w:rFonts w:ascii="Arial Narrow" w:hAnsi="Arial Narrow"/>
          <w:sz w:val="24"/>
          <w:szCs w:val="24"/>
        </w:rPr>
        <w:t xml:space="preserve"> Guinée, ceci dans le cadre de l’approche « One </w:t>
      </w:r>
      <w:proofErr w:type="spellStart"/>
      <w:r w:rsidRPr="005E0AE3">
        <w:rPr>
          <w:rFonts w:ascii="Arial Narrow" w:hAnsi="Arial Narrow"/>
          <w:sz w:val="24"/>
          <w:szCs w:val="24"/>
        </w:rPr>
        <w:t>health</w:t>
      </w:r>
      <w:proofErr w:type="spellEnd"/>
      <w:r w:rsidRPr="005E0AE3">
        <w:rPr>
          <w:rFonts w:ascii="Arial Narrow" w:hAnsi="Arial Narrow"/>
          <w:sz w:val="24"/>
          <w:szCs w:val="24"/>
        </w:rPr>
        <w:t xml:space="preserve"> ». </w:t>
      </w:r>
      <w:r w:rsidRPr="005E0AE3">
        <w:rPr>
          <w:rFonts w:ascii="Arial Narrow" w:hAnsi="Arial Narrow"/>
          <w:sz w:val="24"/>
          <w:szCs w:val="24"/>
          <w:lang w:val="en-CA"/>
        </w:rPr>
        <w:t xml:space="preserve">Il a </w:t>
      </w:r>
      <w:proofErr w:type="spellStart"/>
      <w:r w:rsidRPr="005E0AE3">
        <w:rPr>
          <w:rFonts w:ascii="Arial Narrow" w:hAnsi="Arial Narrow"/>
          <w:sz w:val="24"/>
          <w:szCs w:val="24"/>
          <w:lang w:val="en-CA"/>
        </w:rPr>
        <w:t>été</w:t>
      </w:r>
      <w:proofErr w:type="spellEnd"/>
      <w:r w:rsidRPr="005E0AE3">
        <w:rPr>
          <w:rFonts w:ascii="Arial Narrow" w:hAnsi="Arial Narrow"/>
          <w:sz w:val="24"/>
          <w:szCs w:val="24"/>
          <w:lang w:val="en-CA"/>
        </w:rPr>
        <w:t xml:space="preserve"> </w:t>
      </w:r>
      <w:proofErr w:type="spellStart"/>
      <w:r w:rsidRPr="005E0AE3">
        <w:rPr>
          <w:rFonts w:ascii="Arial Narrow" w:hAnsi="Arial Narrow"/>
          <w:sz w:val="24"/>
          <w:szCs w:val="24"/>
          <w:lang w:val="en-CA"/>
        </w:rPr>
        <w:t>soumis</w:t>
      </w:r>
      <w:proofErr w:type="spellEnd"/>
      <w:r w:rsidRPr="005E0AE3">
        <w:rPr>
          <w:rFonts w:ascii="Arial Narrow" w:hAnsi="Arial Narrow"/>
          <w:sz w:val="24"/>
          <w:szCs w:val="24"/>
          <w:lang w:val="en-CA"/>
        </w:rPr>
        <w:t xml:space="preserve"> à   « Proposed funding opportunity: NIH Fogarty International Center Planning Grant for Emerging Epidemic Virus Research Training for West African Countries with Widespread Transmission of Ebola- Guinea, Liberia, and Sierra Leone (D71) ». </w:t>
      </w:r>
      <w:r w:rsidRPr="005E0AE3">
        <w:rPr>
          <w:rStyle w:val="Appelnotedebasdep"/>
          <w:rFonts w:ascii="Arial Narrow" w:hAnsi="Arial Narrow"/>
        </w:rPr>
        <w:footnoteReference w:id="7"/>
      </w:r>
      <w:r w:rsidRPr="005E0AE3">
        <w:rPr>
          <w:rFonts w:ascii="Arial Narrow" w:hAnsi="Arial Narrow"/>
          <w:sz w:val="24"/>
          <w:szCs w:val="24"/>
          <w:lang w:val="en-CA"/>
        </w:rPr>
        <w:t xml:space="preserve"> </w:t>
      </w:r>
      <w:r w:rsidRPr="005E0AE3">
        <w:rPr>
          <w:rFonts w:ascii="Arial Narrow" w:hAnsi="Arial Narrow"/>
          <w:sz w:val="24"/>
          <w:szCs w:val="24"/>
        </w:rPr>
        <w:t>Malheureusement, le financement n’a pas été obtenu</w:t>
      </w:r>
    </w:p>
    <w:p w14:paraId="3FB107DC" w14:textId="77777777" w:rsidR="000B3DD8" w:rsidRDefault="000B3DD8" w:rsidP="000B3DD8">
      <w:pPr>
        <w:pStyle w:val="Paragraphedeliste"/>
        <w:numPr>
          <w:ilvl w:val="0"/>
          <w:numId w:val="7"/>
        </w:numPr>
        <w:spacing w:after="0" w:line="240" w:lineRule="auto"/>
        <w:jc w:val="both"/>
        <w:rPr>
          <w:rFonts w:ascii="Arial Narrow" w:hAnsi="Arial Narrow"/>
          <w:sz w:val="24"/>
          <w:szCs w:val="24"/>
        </w:rPr>
      </w:pPr>
      <w:bookmarkStart w:id="20" w:name="_Toc411577738"/>
      <w:bookmarkStart w:id="21" w:name="_Toc411595610"/>
      <w:r w:rsidRPr="005E0AE3">
        <w:rPr>
          <w:rFonts w:ascii="Arial Narrow" w:hAnsi="Arial Narrow"/>
          <w:sz w:val="24"/>
          <w:szCs w:val="24"/>
        </w:rPr>
        <w:t>Un Grant de Projet Recherche CRDI Canada -FOSAD</w:t>
      </w:r>
      <w:bookmarkEnd w:id="20"/>
      <w:bookmarkEnd w:id="21"/>
      <w:r w:rsidRPr="005E0AE3">
        <w:rPr>
          <w:rFonts w:ascii="Arial Narrow" w:hAnsi="Arial Narrow"/>
          <w:sz w:val="24"/>
          <w:szCs w:val="24"/>
        </w:rPr>
        <w:t xml:space="preserve"> (2018-2020) a été obtenu dans le cadre d’un appel à propositions de recherche « Fonds pour la recherche rapide sur l’éclosion de la maladie à virus Ebola » par un financement du Centre de recherches pour le développement international (CRDI), des Instituts de recherche en santé du Canada (IRSC) et du Conseil de recherches en sciences humaines du Canada (CRSH). Ce projet porte sur le « Renforcement en éthique de la recherche clinique dans les pays affectés d'Ebola. Il consiste à élaborer une boîte à outils pour et avec des participants potentiels à la recherche ».  </w:t>
      </w:r>
      <w:bookmarkEnd w:id="19"/>
      <w:r w:rsidRPr="005E0AE3">
        <w:rPr>
          <w:rFonts w:ascii="Arial Narrow" w:hAnsi="Arial Narrow"/>
          <w:sz w:val="24"/>
          <w:szCs w:val="24"/>
        </w:rPr>
        <w:t xml:space="preserve">En vue de développer et renforcer une collaboration équitable de la recherche clinique entre les chercheurs (e)s, un consortium a été proposé réunissant le Canada et certains pays Africains (la RDC, la Sierra Léone et la Guinée). Deux (2) chefs de file ont été proposés i.) Professeure Élysée </w:t>
      </w:r>
      <w:proofErr w:type="spellStart"/>
      <w:r w:rsidRPr="005E0AE3">
        <w:rPr>
          <w:rFonts w:ascii="Arial Narrow" w:hAnsi="Arial Narrow"/>
          <w:sz w:val="24"/>
          <w:szCs w:val="24"/>
        </w:rPr>
        <w:t>Nouvet</w:t>
      </w:r>
      <w:proofErr w:type="spellEnd"/>
      <w:r w:rsidRPr="005E0AE3">
        <w:rPr>
          <w:rFonts w:ascii="Arial Narrow" w:hAnsi="Arial Narrow"/>
          <w:sz w:val="24"/>
          <w:szCs w:val="24"/>
        </w:rPr>
        <w:t xml:space="preserve"> de l’Université de Western, Ontario, Canada et ii) Prof Mandy Kader KONDÉ, du Centre de recherche FOSAD-CEFORPAG, Conakry, Guinée. </w:t>
      </w:r>
    </w:p>
    <w:p w14:paraId="058755CC" w14:textId="77777777" w:rsidR="000B3DD8" w:rsidRPr="005E0AE3" w:rsidRDefault="000B3DD8" w:rsidP="000B3DD8">
      <w:pPr>
        <w:pStyle w:val="Paragraphedeliste"/>
        <w:spacing w:after="0" w:line="240" w:lineRule="auto"/>
        <w:jc w:val="both"/>
        <w:rPr>
          <w:rFonts w:ascii="Arial Narrow" w:hAnsi="Arial Narrow"/>
          <w:sz w:val="24"/>
          <w:szCs w:val="24"/>
        </w:rPr>
      </w:pPr>
    </w:p>
    <w:p w14:paraId="33F3228A" w14:textId="77777777" w:rsidR="000B3DD8" w:rsidRPr="00E668C6" w:rsidRDefault="000B3DD8" w:rsidP="000B3DD8">
      <w:pPr>
        <w:pStyle w:val="Titre1"/>
        <w:numPr>
          <w:ilvl w:val="1"/>
          <w:numId w:val="6"/>
        </w:numPr>
        <w:spacing w:before="0" w:after="0" w:line="240" w:lineRule="auto"/>
      </w:pPr>
      <w:bookmarkStart w:id="22" w:name="_Toc49631551"/>
      <w:bookmarkStart w:id="23" w:name="_Toc49632186"/>
      <w:r w:rsidRPr="00E668C6">
        <w:t>LES FORMATIONS</w:t>
      </w:r>
      <w:bookmarkEnd w:id="22"/>
      <w:bookmarkEnd w:id="23"/>
      <w:r w:rsidRPr="00E668C6">
        <w:t xml:space="preserve"> </w:t>
      </w:r>
    </w:p>
    <w:p w14:paraId="1180E127" w14:textId="77777777" w:rsidR="000B3DD8" w:rsidRPr="0079332A" w:rsidRDefault="000B3DD8" w:rsidP="000B3DD8">
      <w:pPr>
        <w:pStyle w:val="Paragraphedeliste"/>
        <w:numPr>
          <w:ilvl w:val="0"/>
          <w:numId w:val="8"/>
        </w:numPr>
        <w:spacing w:after="0" w:line="240" w:lineRule="auto"/>
        <w:jc w:val="both"/>
        <w:rPr>
          <w:rFonts w:ascii="Arial Narrow" w:hAnsi="Arial Narrow"/>
          <w:sz w:val="24"/>
        </w:rPr>
      </w:pPr>
      <w:r>
        <w:rPr>
          <w:rFonts w:ascii="Arial Narrow" w:hAnsi="Arial Narrow"/>
          <w:sz w:val="24"/>
        </w:rPr>
        <w:t>En 2016 l</w:t>
      </w:r>
      <w:r w:rsidRPr="0079332A">
        <w:rPr>
          <w:rFonts w:ascii="Arial Narrow" w:hAnsi="Arial Narrow"/>
          <w:sz w:val="24"/>
        </w:rPr>
        <w:t>e CEFORPAG a abrité deux sessions de formation portant sur les thèmes suivants : i) Formation de 30 techniciens de laboratoire venus de tout le pays pour une formation pratique en bactériologie clinique en collaboration avec LABONET et</w:t>
      </w:r>
      <w:r>
        <w:rPr>
          <w:rFonts w:ascii="Arial Narrow" w:hAnsi="Arial Narrow"/>
          <w:sz w:val="24"/>
        </w:rPr>
        <w:t xml:space="preserve"> le </w:t>
      </w:r>
      <w:r w:rsidRPr="0079332A">
        <w:rPr>
          <w:rFonts w:ascii="Arial Narrow" w:hAnsi="Arial Narrow"/>
          <w:sz w:val="24"/>
        </w:rPr>
        <w:t>laboratoire Guinéo-Allemand</w:t>
      </w:r>
      <w:r>
        <w:rPr>
          <w:rFonts w:ascii="Arial Narrow" w:hAnsi="Arial Narrow"/>
          <w:sz w:val="24"/>
        </w:rPr>
        <w:t xml:space="preserve"> (</w:t>
      </w:r>
      <w:r w:rsidRPr="0079332A">
        <w:rPr>
          <w:rFonts w:ascii="Arial Narrow" w:hAnsi="Arial Narrow"/>
          <w:sz w:val="24"/>
        </w:rPr>
        <w:t>LGA)</w:t>
      </w:r>
      <w:r>
        <w:rPr>
          <w:rFonts w:ascii="Arial Narrow" w:hAnsi="Arial Narrow"/>
          <w:sz w:val="24"/>
        </w:rPr>
        <w:t xml:space="preserve"> du 27 - 29 juillet 2016 ; ii) </w:t>
      </w:r>
      <w:r w:rsidRPr="0079332A">
        <w:rPr>
          <w:rFonts w:ascii="Arial Narrow" w:hAnsi="Arial Narrow"/>
          <w:sz w:val="24"/>
        </w:rPr>
        <w:t xml:space="preserve">Formation de 40 techniciens de laboratoire pour le renforcement de leur capacité en diagnostic de bactériologie clinique et sur les maladies à potentiel épidémique  en collaboration avec </w:t>
      </w:r>
      <w:r>
        <w:rPr>
          <w:rFonts w:ascii="Arial Narrow" w:hAnsi="Arial Narrow"/>
          <w:sz w:val="24"/>
        </w:rPr>
        <w:t>l’</w:t>
      </w:r>
      <w:r w:rsidRPr="0079332A">
        <w:rPr>
          <w:rFonts w:ascii="Arial Narrow" w:hAnsi="Arial Narrow"/>
          <w:sz w:val="24"/>
        </w:rPr>
        <w:t xml:space="preserve">INSP, </w:t>
      </w:r>
      <w:r>
        <w:rPr>
          <w:rFonts w:ascii="Arial Narrow" w:hAnsi="Arial Narrow"/>
          <w:sz w:val="24"/>
        </w:rPr>
        <w:t>l’</w:t>
      </w:r>
      <w:r w:rsidRPr="0079332A">
        <w:rPr>
          <w:rFonts w:ascii="Arial Narrow" w:hAnsi="Arial Narrow"/>
          <w:sz w:val="24"/>
        </w:rPr>
        <w:t xml:space="preserve">OMS &amp; </w:t>
      </w:r>
      <w:r>
        <w:rPr>
          <w:rFonts w:ascii="Arial Narrow" w:hAnsi="Arial Narrow"/>
          <w:sz w:val="24"/>
        </w:rPr>
        <w:t>l’</w:t>
      </w:r>
      <w:r w:rsidRPr="0079332A">
        <w:rPr>
          <w:rFonts w:ascii="Arial Narrow" w:hAnsi="Arial Narrow"/>
          <w:sz w:val="24"/>
        </w:rPr>
        <w:t>AMP</w:t>
      </w:r>
      <w:r>
        <w:rPr>
          <w:rFonts w:ascii="Arial Narrow" w:hAnsi="Arial Narrow"/>
          <w:sz w:val="24"/>
        </w:rPr>
        <w:t xml:space="preserve"> du 5-10 décembre 2016 .</w:t>
      </w:r>
    </w:p>
    <w:p w14:paraId="184A408E" w14:textId="77777777" w:rsidR="000B3DD8" w:rsidRPr="00111D30" w:rsidRDefault="000B3DD8" w:rsidP="000B3DD8">
      <w:pPr>
        <w:pStyle w:val="Paragraphedeliste"/>
        <w:numPr>
          <w:ilvl w:val="0"/>
          <w:numId w:val="8"/>
        </w:numPr>
        <w:spacing w:after="200" w:line="276" w:lineRule="auto"/>
        <w:jc w:val="both"/>
        <w:rPr>
          <w:rFonts w:ascii="Arial Narrow" w:hAnsi="Arial Narrow"/>
          <w:sz w:val="24"/>
        </w:rPr>
      </w:pPr>
      <w:r w:rsidRPr="0079332A">
        <w:rPr>
          <w:rFonts w:ascii="Arial Narrow" w:hAnsi="Arial Narrow"/>
          <w:sz w:val="24"/>
        </w:rPr>
        <w:t> En 201</w:t>
      </w:r>
      <w:r>
        <w:rPr>
          <w:rFonts w:ascii="Arial Narrow" w:hAnsi="Arial Narrow"/>
          <w:sz w:val="24"/>
        </w:rPr>
        <w:t xml:space="preserve">8, </w:t>
      </w:r>
      <w:r w:rsidRPr="0079332A">
        <w:rPr>
          <w:rFonts w:ascii="Arial Narrow" w:hAnsi="Arial Narrow"/>
          <w:sz w:val="24"/>
        </w:rPr>
        <w:t xml:space="preserve">la Fondation </w:t>
      </w:r>
      <w:r>
        <w:rPr>
          <w:rFonts w:ascii="Arial Narrow" w:hAnsi="Arial Narrow"/>
          <w:sz w:val="24"/>
        </w:rPr>
        <w:t>FOSAD</w:t>
      </w:r>
      <w:r w:rsidRPr="0079332A">
        <w:rPr>
          <w:rFonts w:ascii="Arial Narrow" w:hAnsi="Arial Narrow"/>
          <w:sz w:val="24"/>
        </w:rPr>
        <w:t xml:space="preserve"> et son Centre de Formation et recherche (CEFORPAG) ont organisé </w:t>
      </w:r>
      <w:r>
        <w:rPr>
          <w:rFonts w:ascii="Arial Narrow" w:hAnsi="Arial Narrow"/>
          <w:sz w:val="24"/>
        </w:rPr>
        <w:t xml:space="preserve">le </w:t>
      </w:r>
      <w:r w:rsidRPr="0079332A">
        <w:rPr>
          <w:rFonts w:ascii="Arial Narrow" w:hAnsi="Arial Narrow"/>
          <w:sz w:val="24"/>
        </w:rPr>
        <w:t>1er Cours National de Paludologie sur financement de l’USAID à travers le PMI et le Projet Stop Palu +</w:t>
      </w:r>
      <w:r>
        <w:rPr>
          <w:rFonts w:ascii="Arial Narrow" w:hAnsi="Arial Narrow"/>
          <w:sz w:val="24"/>
        </w:rPr>
        <w:t xml:space="preserve"> et </w:t>
      </w:r>
      <w:r w:rsidRPr="0079332A">
        <w:rPr>
          <w:rFonts w:ascii="Arial Narrow" w:hAnsi="Arial Narrow"/>
          <w:sz w:val="24"/>
        </w:rPr>
        <w:t>dans le cadre d’un partenariat</w:t>
      </w:r>
      <w:r>
        <w:rPr>
          <w:rFonts w:ascii="Arial Narrow" w:hAnsi="Arial Narrow"/>
          <w:sz w:val="24"/>
        </w:rPr>
        <w:t xml:space="preserve"> </w:t>
      </w:r>
      <w:r w:rsidRPr="0079332A">
        <w:rPr>
          <w:rFonts w:ascii="Arial Narrow" w:hAnsi="Arial Narrow"/>
          <w:sz w:val="24"/>
        </w:rPr>
        <w:t xml:space="preserve">solide avec le Programme National de Lutte </w:t>
      </w:r>
      <w:r w:rsidRPr="0079332A">
        <w:rPr>
          <w:rFonts w:ascii="Arial Narrow" w:hAnsi="Arial Narrow"/>
          <w:sz w:val="24"/>
        </w:rPr>
        <w:lastRenderedPageBreak/>
        <w:t>contre le Paludisme (PNLP)</w:t>
      </w:r>
      <w:r>
        <w:rPr>
          <w:rFonts w:ascii="Arial Narrow" w:hAnsi="Arial Narrow"/>
          <w:sz w:val="24"/>
        </w:rPr>
        <w:t xml:space="preserve">, </w:t>
      </w:r>
      <w:r w:rsidRPr="0079332A">
        <w:rPr>
          <w:rFonts w:ascii="Arial Narrow" w:hAnsi="Arial Narrow"/>
          <w:sz w:val="24"/>
        </w:rPr>
        <w:t>la Faculté des Sciences et T</w:t>
      </w:r>
      <w:r>
        <w:rPr>
          <w:rFonts w:ascii="Arial Narrow" w:hAnsi="Arial Narrow"/>
          <w:sz w:val="24"/>
        </w:rPr>
        <w:t>echniques en Santé (FSTS-UGANC) et</w:t>
      </w:r>
      <w:r w:rsidRPr="0079332A">
        <w:rPr>
          <w:rFonts w:ascii="Arial Narrow" w:hAnsi="Arial Narrow"/>
          <w:sz w:val="24"/>
        </w:rPr>
        <w:t xml:space="preserve"> l’OMS.</w:t>
      </w:r>
      <w:r>
        <w:rPr>
          <w:rFonts w:ascii="Arial Narrow" w:hAnsi="Arial Narrow"/>
          <w:sz w:val="24"/>
        </w:rPr>
        <w:t xml:space="preserve"> </w:t>
      </w:r>
      <w:r>
        <w:rPr>
          <w:rFonts w:ascii="Arial Narrow" w:hAnsi="Arial Narrow"/>
        </w:rPr>
        <w:t xml:space="preserve">Il a été ainsi formé </w:t>
      </w:r>
      <w:r w:rsidRPr="003F3D33">
        <w:rPr>
          <w:rFonts w:ascii="Arial Narrow" w:hAnsi="Arial Narrow"/>
        </w:rPr>
        <w:t>une cohorte de 25 experts nationaux en paludologie</w:t>
      </w:r>
    </w:p>
    <w:p w14:paraId="739B4194" w14:textId="77777777" w:rsidR="000B3DD8" w:rsidRPr="00A4777F" w:rsidRDefault="000B3DD8" w:rsidP="000B3DD8">
      <w:pPr>
        <w:pStyle w:val="Paragraphedeliste"/>
        <w:numPr>
          <w:ilvl w:val="0"/>
          <w:numId w:val="8"/>
        </w:numPr>
        <w:spacing w:after="200" w:line="276" w:lineRule="auto"/>
        <w:jc w:val="both"/>
        <w:rPr>
          <w:rFonts w:ascii="Arial Narrow" w:hAnsi="Arial Narrow"/>
          <w:sz w:val="24"/>
        </w:rPr>
      </w:pPr>
      <w:r w:rsidRPr="00ED3220">
        <w:rPr>
          <w:rFonts w:ascii="Arial Narrow" w:hAnsi="Arial Narrow"/>
          <w:sz w:val="24"/>
        </w:rPr>
        <w:t xml:space="preserve">Formation des relais communautaires (RECO) et des agents communautaires de santé (ASC) dans le cadre de la coopération UNPFA (2017-2020) </w:t>
      </w:r>
    </w:p>
    <w:p w14:paraId="262FBB3C" w14:textId="77777777" w:rsidR="000B3DD8" w:rsidRDefault="000B3DD8" w:rsidP="000B3DD8">
      <w:pPr>
        <w:pStyle w:val="Paragraphedeliste"/>
        <w:numPr>
          <w:ilvl w:val="0"/>
          <w:numId w:val="8"/>
        </w:numPr>
        <w:spacing w:after="200" w:line="276" w:lineRule="auto"/>
        <w:jc w:val="both"/>
        <w:rPr>
          <w:rFonts w:ascii="Arial Narrow" w:hAnsi="Arial Narrow"/>
          <w:sz w:val="24"/>
        </w:rPr>
      </w:pPr>
      <w:r w:rsidRPr="00ED3220">
        <w:rPr>
          <w:rFonts w:ascii="Arial Narrow" w:hAnsi="Arial Narrow"/>
          <w:sz w:val="24"/>
        </w:rPr>
        <w:t>Atelier de formation HACT et la Gestion financière. UNFPA (PWC) au profit du staff de la FOSAD</w:t>
      </w:r>
    </w:p>
    <w:p w14:paraId="102EB901" w14:textId="77777777" w:rsidR="000B3DD8" w:rsidRDefault="000B3DD8" w:rsidP="000B3DD8">
      <w:pPr>
        <w:pStyle w:val="Titre2"/>
        <w:numPr>
          <w:ilvl w:val="2"/>
          <w:numId w:val="6"/>
        </w:numPr>
      </w:pPr>
      <w:bookmarkStart w:id="24" w:name="_Toc49631552"/>
      <w:bookmarkStart w:id="25" w:name="_Toc49632187"/>
      <w:bookmarkStart w:id="26" w:name="_Toc411577742"/>
      <w:bookmarkStart w:id="27" w:name="_Toc411595614"/>
      <w:r>
        <w:t>RENFORCEMENT DE CAPACITES DE LABORATOIRE</w:t>
      </w:r>
      <w:bookmarkEnd w:id="24"/>
      <w:bookmarkEnd w:id="25"/>
    </w:p>
    <w:p w14:paraId="6B7C046C" w14:textId="77777777" w:rsidR="000B3DD8" w:rsidRPr="007D5372" w:rsidRDefault="000B3DD8" w:rsidP="000B3DD8">
      <w:pPr>
        <w:spacing w:after="200" w:line="276" w:lineRule="auto"/>
        <w:jc w:val="both"/>
        <w:rPr>
          <w:rFonts w:ascii="Arial Narrow" w:hAnsi="Arial Narrow"/>
          <w:sz w:val="24"/>
        </w:rPr>
      </w:pPr>
      <w:r>
        <w:rPr>
          <w:rFonts w:ascii="Arial Narrow" w:hAnsi="Arial Narrow"/>
          <w:sz w:val="24"/>
        </w:rPr>
        <w:t>Avec la collaboration des partenaires dans le cadre de la recherche, l</w:t>
      </w:r>
      <w:r w:rsidRPr="007D5372">
        <w:rPr>
          <w:rFonts w:ascii="Arial Narrow" w:hAnsi="Arial Narrow"/>
          <w:sz w:val="24"/>
        </w:rPr>
        <w:t xml:space="preserve">es capacités du laboratoire CEFORPAG se sont renforcées par l’acquisition de </w:t>
      </w:r>
      <w:r>
        <w:rPr>
          <w:rFonts w:ascii="Arial Narrow" w:hAnsi="Arial Narrow"/>
          <w:sz w:val="24"/>
        </w:rPr>
        <w:t xml:space="preserve">matériels et équipements dont </w:t>
      </w:r>
      <w:r w:rsidRPr="007D5372">
        <w:rPr>
          <w:rFonts w:ascii="Arial Narrow" w:hAnsi="Arial Narrow"/>
          <w:sz w:val="24"/>
        </w:rPr>
        <w:t>2 automates (hémato et biochimie)</w:t>
      </w:r>
      <w:r>
        <w:rPr>
          <w:rFonts w:ascii="Arial Narrow" w:hAnsi="Arial Narrow"/>
          <w:sz w:val="24"/>
        </w:rPr>
        <w:t> ;</w:t>
      </w:r>
      <w:r w:rsidRPr="007D5372">
        <w:rPr>
          <w:rFonts w:ascii="Arial Narrow" w:hAnsi="Arial Narrow"/>
          <w:sz w:val="24"/>
        </w:rPr>
        <w:t xml:space="preserve"> mais ses activités doivent s’étendre à la biologie moléculaire, </w:t>
      </w:r>
      <w:r>
        <w:rPr>
          <w:rFonts w:ascii="Arial Narrow" w:hAnsi="Arial Narrow"/>
          <w:sz w:val="24"/>
        </w:rPr>
        <w:t>et</w:t>
      </w:r>
      <w:r w:rsidRPr="007D5372">
        <w:rPr>
          <w:rFonts w:ascii="Arial Narrow" w:hAnsi="Arial Narrow"/>
          <w:sz w:val="24"/>
        </w:rPr>
        <w:t xml:space="preserve"> surtout à la biologie clinique de routine.  </w:t>
      </w:r>
    </w:p>
    <w:p w14:paraId="0FC291C2" w14:textId="77777777" w:rsidR="000B3DD8" w:rsidRPr="00BB2C37" w:rsidRDefault="000B3DD8" w:rsidP="000B3DD8">
      <w:pPr>
        <w:pStyle w:val="Titre2"/>
        <w:numPr>
          <w:ilvl w:val="2"/>
          <w:numId w:val="6"/>
        </w:numPr>
        <w:spacing w:before="0" w:after="0" w:line="240" w:lineRule="auto"/>
      </w:pPr>
      <w:bookmarkStart w:id="28" w:name="_Toc49631553"/>
      <w:bookmarkStart w:id="29" w:name="_Toc49632188"/>
      <w:r w:rsidRPr="00BB2C37">
        <w:t>COMMUNICATION ET ACCESS INTERNET</w:t>
      </w:r>
      <w:bookmarkEnd w:id="26"/>
      <w:bookmarkEnd w:id="27"/>
      <w:bookmarkEnd w:id="28"/>
      <w:bookmarkEnd w:id="29"/>
    </w:p>
    <w:p w14:paraId="365E6FF5" w14:textId="77777777" w:rsidR="000B3DD8" w:rsidRPr="00ED3220" w:rsidRDefault="000B3DD8" w:rsidP="000B3DD8">
      <w:pPr>
        <w:spacing w:after="0" w:line="240" w:lineRule="auto"/>
        <w:jc w:val="both"/>
        <w:rPr>
          <w:rFonts w:ascii="Arial Narrow" w:hAnsi="Arial Narrow"/>
          <w:sz w:val="24"/>
          <w:szCs w:val="24"/>
        </w:rPr>
      </w:pPr>
      <w:r w:rsidRPr="00ED3220">
        <w:rPr>
          <w:rFonts w:ascii="Arial Narrow" w:hAnsi="Arial Narrow"/>
          <w:sz w:val="24"/>
          <w:szCs w:val="24"/>
        </w:rPr>
        <w:t>Un point focal des activités de communication a été désigné par la Direction exécutive, malheureusement il n’a pas pu poursuivre ses activités faute de disponibilité suffisante ; étant impliqué dans beaucoup d’autres activités. On ainsi plus</w:t>
      </w:r>
      <w:r>
        <w:rPr>
          <w:rFonts w:ascii="Arial Narrow" w:hAnsi="Arial Narrow"/>
          <w:sz w:val="24"/>
          <w:szCs w:val="24"/>
        </w:rPr>
        <w:t>,</w:t>
      </w:r>
      <w:r w:rsidRPr="00ED3220">
        <w:rPr>
          <w:rFonts w:ascii="Arial Narrow" w:hAnsi="Arial Narrow"/>
          <w:sz w:val="24"/>
          <w:szCs w:val="24"/>
        </w:rPr>
        <w:t xml:space="preserve"> privilégié la communication de proximité avec une implication d’un communicateur de Coyah.</w:t>
      </w:r>
    </w:p>
    <w:p w14:paraId="5FF9D17C" w14:textId="77777777" w:rsidR="000B3DD8" w:rsidRPr="00ED3220" w:rsidRDefault="000B3DD8" w:rsidP="000B3DD8">
      <w:pPr>
        <w:jc w:val="both"/>
        <w:rPr>
          <w:rFonts w:ascii="Arial Narrow" w:hAnsi="Arial Narrow"/>
          <w:sz w:val="24"/>
          <w:szCs w:val="24"/>
        </w:rPr>
      </w:pPr>
      <w:r w:rsidRPr="00ED3220">
        <w:rPr>
          <w:rFonts w:ascii="Arial Narrow" w:hAnsi="Arial Narrow"/>
          <w:sz w:val="24"/>
          <w:szCs w:val="24"/>
        </w:rPr>
        <w:t xml:space="preserve">La Direction a recruté un spécialiste « web designer » pour redynamiser le site web  </w:t>
      </w:r>
      <w:hyperlink r:id="rId7" w:history="1">
        <w:r w:rsidRPr="00ED3220">
          <w:rPr>
            <w:rStyle w:val="Lienhypertexte"/>
            <w:rFonts w:ascii="Arial Narrow" w:hAnsi="Arial Narrow"/>
            <w:sz w:val="24"/>
            <w:szCs w:val="24"/>
          </w:rPr>
          <w:t>www.ceforpag.org</w:t>
        </w:r>
      </w:hyperlink>
      <w:r w:rsidRPr="00ED3220">
        <w:rPr>
          <w:rFonts w:ascii="Arial Narrow" w:hAnsi="Arial Narrow"/>
          <w:sz w:val="24"/>
          <w:szCs w:val="24"/>
        </w:rPr>
        <w:t xml:space="preserve"> et créer un nouveau </w:t>
      </w:r>
      <w:proofErr w:type="spellStart"/>
      <w:r w:rsidRPr="00ED3220">
        <w:rPr>
          <w:rFonts w:ascii="Arial Narrow" w:hAnsi="Arial Narrow"/>
          <w:sz w:val="24"/>
          <w:szCs w:val="24"/>
        </w:rPr>
        <w:t>siteweb</w:t>
      </w:r>
      <w:proofErr w:type="spellEnd"/>
      <w:r w:rsidRPr="00ED3220">
        <w:rPr>
          <w:rFonts w:ascii="Arial Narrow" w:hAnsi="Arial Narrow"/>
          <w:sz w:val="24"/>
          <w:szCs w:val="24"/>
        </w:rPr>
        <w:t xml:space="preserve"> « </w:t>
      </w:r>
      <w:r>
        <w:rPr>
          <w:rFonts w:ascii="Arial Narrow" w:hAnsi="Arial Narrow"/>
          <w:sz w:val="24"/>
          <w:szCs w:val="24"/>
        </w:rPr>
        <w:t>F</w:t>
      </w:r>
      <w:r w:rsidRPr="00ED3220">
        <w:rPr>
          <w:rFonts w:ascii="Arial Narrow" w:hAnsi="Arial Narrow"/>
          <w:sz w:val="24"/>
          <w:szCs w:val="24"/>
        </w:rPr>
        <w:t xml:space="preserve">osad.org » avec des contacts Facebook et Twitter et des emails adresses professionnels. </w:t>
      </w:r>
    </w:p>
    <w:p w14:paraId="0DE666D4" w14:textId="77777777" w:rsidR="000B3DD8" w:rsidRPr="00ED3220" w:rsidRDefault="000B3DD8" w:rsidP="000B3DD8">
      <w:pPr>
        <w:jc w:val="both"/>
        <w:rPr>
          <w:rFonts w:ascii="Arial Narrow" w:hAnsi="Arial Narrow"/>
          <w:sz w:val="24"/>
          <w:szCs w:val="24"/>
        </w:rPr>
      </w:pPr>
      <w:r w:rsidRPr="00ED3220">
        <w:rPr>
          <w:rFonts w:ascii="Arial Narrow" w:hAnsi="Arial Narrow"/>
          <w:sz w:val="24"/>
          <w:szCs w:val="24"/>
        </w:rPr>
        <w:t xml:space="preserve">Un pylône de 26 m avec une bande passante de 100 MB a été implanté au CEFORPAG à </w:t>
      </w:r>
      <w:proofErr w:type="spellStart"/>
      <w:r w:rsidRPr="00ED3220">
        <w:rPr>
          <w:rFonts w:ascii="Arial Narrow" w:hAnsi="Arial Narrow"/>
          <w:sz w:val="24"/>
          <w:szCs w:val="24"/>
        </w:rPr>
        <w:t>Nongo</w:t>
      </w:r>
      <w:proofErr w:type="spellEnd"/>
      <w:r w:rsidRPr="00ED3220">
        <w:rPr>
          <w:rFonts w:ascii="Arial Narrow" w:hAnsi="Arial Narrow"/>
          <w:sz w:val="24"/>
          <w:szCs w:val="24"/>
        </w:rPr>
        <w:t> ; ce qui a permis d’offrir une connexion internet illimité et permanente. Il a été de même mis en place une 2</w:t>
      </w:r>
      <w:r w:rsidRPr="00ED3220">
        <w:rPr>
          <w:rFonts w:ascii="Arial Narrow" w:hAnsi="Arial Narrow"/>
          <w:sz w:val="24"/>
          <w:szCs w:val="24"/>
          <w:vertAlign w:val="superscript"/>
        </w:rPr>
        <w:t>ème</w:t>
      </w:r>
      <w:r w:rsidRPr="00ED3220">
        <w:rPr>
          <w:rFonts w:ascii="Arial Narrow" w:hAnsi="Arial Narrow"/>
          <w:sz w:val="24"/>
          <w:szCs w:val="24"/>
        </w:rPr>
        <w:t xml:space="preserve"> bande passante à la PCM de Kirikilan </w:t>
      </w:r>
      <w:r>
        <w:rPr>
          <w:rFonts w:ascii="Arial Narrow" w:hAnsi="Arial Narrow"/>
          <w:sz w:val="24"/>
          <w:szCs w:val="24"/>
        </w:rPr>
        <w:t xml:space="preserve">qui </w:t>
      </w:r>
      <w:r w:rsidRPr="00ED3220">
        <w:rPr>
          <w:rFonts w:ascii="Arial Narrow" w:hAnsi="Arial Narrow"/>
          <w:sz w:val="24"/>
          <w:szCs w:val="24"/>
        </w:rPr>
        <w:t xml:space="preserve">offre ainsi les mêmes facilités d’accès permanent et illimité à internet.  </w:t>
      </w:r>
    </w:p>
    <w:p w14:paraId="35400FED" w14:textId="4472F02D" w:rsidR="000B3DD8" w:rsidRDefault="000B3DD8"/>
    <w:p w14:paraId="79D7240D" w14:textId="77777777" w:rsidR="000B3DD8" w:rsidRPr="009C56A8" w:rsidRDefault="000B3DD8" w:rsidP="000B3DD8">
      <w:pPr>
        <w:pStyle w:val="Titre1"/>
        <w:numPr>
          <w:ilvl w:val="0"/>
          <w:numId w:val="6"/>
        </w:numPr>
        <w:spacing w:before="240" w:after="0" w:line="240" w:lineRule="auto"/>
        <w:rPr>
          <w:rStyle w:val="lev"/>
          <w:b/>
          <w:bCs/>
          <w:color w:val="0070C0"/>
        </w:rPr>
      </w:pPr>
      <w:bookmarkStart w:id="30" w:name="_Toc49631554"/>
      <w:bookmarkStart w:id="31" w:name="_Toc49632189"/>
      <w:r w:rsidRPr="009C56A8">
        <w:rPr>
          <w:rStyle w:val="lev"/>
          <w:b/>
          <w:bCs/>
          <w:color w:val="0070C0"/>
        </w:rPr>
        <w:t>LA POLYCLINIQUE COMMUNAUTAIRE MODERNE (PCM) KIRIKILAN</w:t>
      </w:r>
      <w:bookmarkEnd w:id="30"/>
      <w:bookmarkEnd w:id="31"/>
    </w:p>
    <w:p w14:paraId="4D8F1250" w14:textId="77777777" w:rsidR="000B3DD8" w:rsidRDefault="000B3DD8" w:rsidP="000B3DD8">
      <w:pPr>
        <w:spacing w:after="0" w:line="240" w:lineRule="auto"/>
        <w:jc w:val="both"/>
        <w:rPr>
          <w:rFonts w:ascii="Arial Narrow" w:hAnsi="Arial Narrow"/>
          <w:sz w:val="24"/>
        </w:rPr>
      </w:pPr>
      <w:r w:rsidRPr="00F4200C">
        <w:rPr>
          <w:rFonts w:ascii="Arial Narrow" w:hAnsi="Arial Narrow"/>
          <w:sz w:val="24"/>
        </w:rPr>
        <w:t xml:space="preserve">Dans le domaine de la Santé Communautaire, la FOSAD a également mis en place une Polyclinique Communautaire Moderne (PCM) sise </w:t>
      </w:r>
      <w:r>
        <w:rPr>
          <w:rFonts w:ascii="Arial Narrow" w:hAnsi="Arial Narrow"/>
          <w:sz w:val="24"/>
        </w:rPr>
        <w:t xml:space="preserve">dans le nouveau Quartier de </w:t>
      </w:r>
      <w:proofErr w:type="spellStart"/>
      <w:r>
        <w:rPr>
          <w:rFonts w:ascii="Arial Narrow" w:hAnsi="Arial Narrow"/>
          <w:sz w:val="24"/>
        </w:rPr>
        <w:t>Kririkilan</w:t>
      </w:r>
      <w:proofErr w:type="spellEnd"/>
      <w:r w:rsidRPr="00F4200C">
        <w:rPr>
          <w:rFonts w:ascii="Arial Narrow" w:hAnsi="Arial Narrow"/>
          <w:sz w:val="24"/>
        </w:rPr>
        <w:t xml:space="preserve"> (Kagbelen, Dubréka). La PCM </w:t>
      </w:r>
      <w:r>
        <w:rPr>
          <w:rFonts w:ascii="Arial Narrow" w:hAnsi="Arial Narrow"/>
          <w:sz w:val="24"/>
        </w:rPr>
        <w:t xml:space="preserve">construite </w:t>
      </w:r>
      <w:r>
        <w:rPr>
          <w:rFonts w:ascii="Arial Narrow" w:hAnsi="Arial Narrow"/>
          <w:sz w:val="24"/>
          <w:szCs w:val="24"/>
        </w:rPr>
        <w:t xml:space="preserve">en brique de terre stabilisée respectant l’écologie (BTS) </w:t>
      </w:r>
      <w:r>
        <w:rPr>
          <w:rFonts w:ascii="Arial Narrow" w:hAnsi="Arial Narrow"/>
          <w:sz w:val="24"/>
        </w:rPr>
        <w:t xml:space="preserve">a été </w:t>
      </w:r>
      <w:r w:rsidRPr="004C302F">
        <w:rPr>
          <w:rFonts w:ascii="Arial Narrow" w:hAnsi="Arial Narrow"/>
          <w:sz w:val="24"/>
        </w:rPr>
        <w:t xml:space="preserve">financée sur fonds propres par la Fondation </w:t>
      </w:r>
      <w:r>
        <w:rPr>
          <w:rFonts w:ascii="Arial Narrow" w:hAnsi="Arial Narrow"/>
          <w:sz w:val="24"/>
        </w:rPr>
        <w:t>FOSAD. Elle financé la construction, les matériels et équipements, le recrutement du personnel et payé régulièrement les consommables et réactifs et</w:t>
      </w:r>
      <w:r w:rsidRPr="00F4200C">
        <w:rPr>
          <w:rFonts w:ascii="Arial Narrow" w:hAnsi="Arial Narrow"/>
          <w:sz w:val="24"/>
        </w:rPr>
        <w:t xml:space="preserve"> a démarré ses activités </w:t>
      </w:r>
      <w:r>
        <w:rPr>
          <w:rFonts w:ascii="Arial Narrow" w:hAnsi="Arial Narrow"/>
          <w:sz w:val="24"/>
        </w:rPr>
        <w:t xml:space="preserve">depuis </w:t>
      </w:r>
      <w:r w:rsidRPr="00B67F52">
        <w:rPr>
          <w:rFonts w:ascii="Arial Narrow" w:hAnsi="Arial Narrow"/>
          <w:sz w:val="24"/>
          <w:szCs w:val="24"/>
        </w:rPr>
        <w:t>le 18 Avril 2016</w:t>
      </w:r>
      <w:r>
        <w:rPr>
          <w:rFonts w:ascii="Arial Narrow" w:hAnsi="Arial Narrow"/>
          <w:sz w:val="24"/>
        </w:rPr>
        <w:t>. Elle s</w:t>
      </w:r>
      <w:r w:rsidRPr="004C302F">
        <w:rPr>
          <w:rFonts w:ascii="Arial Narrow" w:hAnsi="Arial Narrow"/>
          <w:sz w:val="24"/>
        </w:rPr>
        <w:t xml:space="preserve">’inscrit dans le </w:t>
      </w:r>
      <w:r>
        <w:rPr>
          <w:rFonts w:ascii="Arial Narrow" w:hAnsi="Arial Narrow"/>
          <w:sz w:val="24"/>
        </w:rPr>
        <w:t xml:space="preserve">cadre du </w:t>
      </w:r>
      <w:r w:rsidRPr="004C302F">
        <w:rPr>
          <w:rFonts w:ascii="Arial Narrow" w:hAnsi="Arial Narrow"/>
          <w:sz w:val="24"/>
        </w:rPr>
        <w:t xml:space="preserve">partenariat “Public-Privé” </w:t>
      </w:r>
      <w:r>
        <w:rPr>
          <w:rFonts w:ascii="Arial Narrow" w:hAnsi="Arial Narrow"/>
          <w:sz w:val="24"/>
        </w:rPr>
        <w:t>avec le Ministère de la Santé</w:t>
      </w:r>
      <w:r>
        <w:rPr>
          <w:rFonts w:ascii="Arial Narrow" w:hAnsi="Arial Narrow"/>
          <w:sz w:val="24"/>
          <w:szCs w:val="24"/>
        </w:rPr>
        <w:t xml:space="preserve">. </w:t>
      </w:r>
    </w:p>
    <w:p w14:paraId="04BE7031" w14:textId="77777777" w:rsidR="000B3DD8" w:rsidRDefault="000B3DD8" w:rsidP="000B3DD8">
      <w:pPr>
        <w:spacing w:after="0" w:line="240" w:lineRule="auto"/>
        <w:jc w:val="both"/>
        <w:rPr>
          <w:rFonts w:ascii="Arial Narrow" w:hAnsi="Arial Narrow"/>
          <w:sz w:val="24"/>
        </w:rPr>
      </w:pPr>
    </w:p>
    <w:p w14:paraId="18E2B536" w14:textId="77777777" w:rsidR="000B3DD8" w:rsidRPr="004C302F" w:rsidRDefault="000B3DD8" w:rsidP="000B3DD8">
      <w:pPr>
        <w:jc w:val="both"/>
        <w:rPr>
          <w:rFonts w:ascii="Arial Narrow" w:hAnsi="Arial Narrow"/>
          <w:sz w:val="24"/>
        </w:rPr>
      </w:pPr>
      <w:r>
        <w:rPr>
          <w:rFonts w:ascii="Arial Narrow" w:hAnsi="Arial Narrow"/>
          <w:sz w:val="24"/>
        </w:rPr>
        <w:t xml:space="preserve">La PCM </w:t>
      </w:r>
      <w:r w:rsidRPr="004C302F">
        <w:rPr>
          <w:rFonts w:ascii="Arial Narrow" w:hAnsi="Arial Narrow"/>
          <w:sz w:val="24"/>
        </w:rPr>
        <w:t>en tant</w:t>
      </w:r>
      <w:r>
        <w:rPr>
          <w:rFonts w:ascii="Arial Narrow" w:hAnsi="Arial Narrow"/>
          <w:sz w:val="24"/>
        </w:rPr>
        <w:t>,</w:t>
      </w:r>
      <w:r w:rsidRPr="004C302F">
        <w:rPr>
          <w:rFonts w:ascii="Arial Narrow" w:hAnsi="Arial Narrow"/>
          <w:sz w:val="24"/>
        </w:rPr>
        <w:t xml:space="preserve"> qu’une Antenne du Centre d</w:t>
      </w:r>
      <w:r>
        <w:rPr>
          <w:rFonts w:ascii="Arial Narrow" w:hAnsi="Arial Narrow"/>
          <w:sz w:val="24"/>
        </w:rPr>
        <w:t xml:space="preserve">e recherche sur les maladies (CEFORPAG), a en vue de contribuer à l’amélioration, </w:t>
      </w:r>
      <w:r w:rsidRPr="004C302F">
        <w:rPr>
          <w:rFonts w:ascii="Arial Narrow" w:hAnsi="Arial Narrow"/>
          <w:sz w:val="24"/>
        </w:rPr>
        <w:t>l’accessibilité e</w:t>
      </w:r>
      <w:r>
        <w:rPr>
          <w:rFonts w:ascii="Arial Narrow" w:hAnsi="Arial Narrow"/>
          <w:sz w:val="24"/>
        </w:rPr>
        <w:t xml:space="preserve">t la qualité des soins dans la Préfecture de Dubréka ; notamment servir de Centre de référence au réseau de formations sanitaires privées dans les Quartiers de </w:t>
      </w:r>
      <w:r w:rsidRPr="004C302F">
        <w:rPr>
          <w:rFonts w:ascii="Arial Narrow" w:hAnsi="Arial Narrow"/>
          <w:sz w:val="24"/>
        </w:rPr>
        <w:t>Kéitaya, Tobolon, Fofomèrè, A</w:t>
      </w:r>
      <w:r>
        <w:rPr>
          <w:rFonts w:ascii="Arial Narrow" w:hAnsi="Arial Narrow"/>
          <w:sz w:val="24"/>
        </w:rPr>
        <w:t xml:space="preserve">nsoumania, Bailobaya, Samataran. </w:t>
      </w:r>
      <w:r w:rsidRPr="00B67F52">
        <w:rPr>
          <w:rFonts w:ascii="Arial Narrow" w:hAnsi="Arial Narrow"/>
          <w:sz w:val="24"/>
          <w:szCs w:val="24"/>
        </w:rPr>
        <w:t xml:space="preserve">Cette zone </w:t>
      </w:r>
      <w:r>
        <w:rPr>
          <w:rFonts w:ascii="Arial Narrow" w:hAnsi="Arial Narrow"/>
          <w:sz w:val="24"/>
          <w:szCs w:val="24"/>
        </w:rPr>
        <w:t xml:space="preserve">est </w:t>
      </w:r>
      <w:r w:rsidRPr="00B67F52">
        <w:rPr>
          <w:rFonts w:ascii="Arial Narrow" w:hAnsi="Arial Narrow"/>
          <w:sz w:val="24"/>
          <w:szCs w:val="24"/>
        </w:rPr>
        <w:t xml:space="preserve">très enclavée </w:t>
      </w:r>
      <w:r>
        <w:rPr>
          <w:rFonts w:ascii="Arial Narrow" w:hAnsi="Arial Narrow"/>
          <w:sz w:val="24"/>
          <w:szCs w:val="24"/>
        </w:rPr>
        <w:t>et</w:t>
      </w:r>
      <w:r w:rsidRPr="00B67F52">
        <w:rPr>
          <w:rFonts w:ascii="Arial Narrow" w:hAnsi="Arial Narrow"/>
          <w:sz w:val="24"/>
          <w:szCs w:val="24"/>
        </w:rPr>
        <w:t xml:space="preserve"> les infrastructures de base </w:t>
      </w:r>
      <w:r>
        <w:rPr>
          <w:rFonts w:ascii="Arial Narrow" w:hAnsi="Arial Narrow"/>
          <w:sz w:val="24"/>
          <w:szCs w:val="24"/>
        </w:rPr>
        <w:t xml:space="preserve">publiques </w:t>
      </w:r>
      <w:r w:rsidRPr="00B67F52">
        <w:rPr>
          <w:rFonts w:ascii="Arial Narrow" w:hAnsi="Arial Narrow"/>
          <w:sz w:val="24"/>
          <w:szCs w:val="24"/>
        </w:rPr>
        <w:t>(écoles, centre de santé) so</w:t>
      </w:r>
      <w:r>
        <w:rPr>
          <w:rFonts w:ascii="Arial Narrow" w:hAnsi="Arial Narrow"/>
          <w:sz w:val="24"/>
          <w:szCs w:val="24"/>
        </w:rPr>
        <w:t>nt presque inexistantes, avec des</w:t>
      </w:r>
      <w:r w:rsidRPr="00B67F52">
        <w:rPr>
          <w:rFonts w:ascii="Arial Narrow" w:hAnsi="Arial Narrow"/>
          <w:sz w:val="24"/>
          <w:szCs w:val="24"/>
        </w:rPr>
        <w:t xml:space="preserve"> population</w:t>
      </w:r>
      <w:r>
        <w:rPr>
          <w:rFonts w:ascii="Arial Narrow" w:hAnsi="Arial Narrow"/>
          <w:sz w:val="24"/>
          <w:szCs w:val="24"/>
        </w:rPr>
        <w:t>s très</w:t>
      </w:r>
      <w:r w:rsidRPr="00B67F52">
        <w:rPr>
          <w:rFonts w:ascii="Arial Narrow" w:hAnsi="Arial Narrow"/>
          <w:sz w:val="24"/>
          <w:szCs w:val="24"/>
        </w:rPr>
        <w:t xml:space="preserve"> pauvre</w:t>
      </w:r>
      <w:r>
        <w:rPr>
          <w:rFonts w:ascii="Arial Narrow" w:hAnsi="Arial Narrow"/>
          <w:sz w:val="24"/>
          <w:szCs w:val="24"/>
        </w:rPr>
        <w:t>s</w:t>
      </w:r>
      <w:r w:rsidRPr="00B67F52">
        <w:rPr>
          <w:rFonts w:ascii="Arial Narrow" w:hAnsi="Arial Narrow"/>
          <w:sz w:val="24"/>
          <w:szCs w:val="24"/>
        </w:rPr>
        <w:t xml:space="preserve">. </w:t>
      </w:r>
    </w:p>
    <w:p w14:paraId="4C4E8EF1" w14:textId="77777777" w:rsidR="000B3DD8" w:rsidRDefault="000B3DD8" w:rsidP="000B3DD8">
      <w:pPr>
        <w:jc w:val="both"/>
        <w:rPr>
          <w:rFonts w:ascii="Arial Narrow" w:hAnsi="Arial Narrow"/>
          <w:sz w:val="24"/>
        </w:rPr>
      </w:pPr>
      <w:r w:rsidRPr="004C302F">
        <w:rPr>
          <w:rFonts w:ascii="Arial Narrow" w:hAnsi="Arial Narrow"/>
          <w:sz w:val="24"/>
        </w:rPr>
        <w:t>La P</w:t>
      </w:r>
      <w:r>
        <w:rPr>
          <w:rFonts w:ascii="Arial Narrow" w:hAnsi="Arial Narrow"/>
          <w:sz w:val="24"/>
        </w:rPr>
        <w:t xml:space="preserve">CM </w:t>
      </w:r>
      <w:r w:rsidRPr="004C302F">
        <w:rPr>
          <w:rFonts w:ascii="Arial Narrow" w:hAnsi="Arial Narrow"/>
          <w:sz w:val="24"/>
        </w:rPr>
        <w:t>délivre</w:t>
      </w:r>
      <w:r>
        <w:rPr>
          <w:rFonts w:ascii="Arial Narrow" w:hAnsi="Arial Narrow"/>
          <w:sz w:val="24"/>
        </w:rPr>
        <w:t xml:space="preserve">nt déjà le paquet des </w:t>
      </w:r>
      <w:r w:rsidRPr="004C302F">
        <w:rPr>
          <w:rFonts w:ascii="Arial Narrow" w:hAnsi="Arial Narrow"/>
          <w:sz w:val="24"/>
        </w:rPr>
        <w:t xml:space="preserve">soins </w:t>
      </w:r>
      <w:r>
        <w:rPr>
          <w:rFonts w:ascii="Arial Narrow" w:hAnsi="Arial Narrow"/>
          <w:sz w:val="24"/>
        </w:rPr>
        <w:t>de santé primaires (</w:t>
      </w:r>
      <w:r w:rsidRPr="004C302F">
        <w:rPr>
          <w:rFonts w:ascii="Arial Narrow" w:hAnsi="Arial Narrow"/>
          <w:sz w:val="24"/>
        </w:rPr>
        <w:t>curatifs, préventifs et promotionnels</w:t>
      </w:r>
      <w:r>
        <w:rPr>
          <w:rFonts w:ascii="Arial Narrow" w:hAnsi="Arial Narrow"/>
          <w:sz w:val="24"/>
        </w:rPr>
        <w:t>) et depuis fin 2017 a commencé à intégrer les soins de référence médico-chirurgicale notamment un bloc opératoire pour les césariennes et la chirurgie d’urgence, l’échographie et un laboratoire mieux équipé avec des automates de biochimie et d’hématologie, un cabinet dentaire, un bloc ORL et Ophtalmo.</w:t>
      </w:r>
    </w:p>
    <w:p w14:paraId="7CCE8179" w14:textId="77777777" w:rsidR="000B3DD8" w:rsidRPr="00E668C6" w:rsidRDefault="000B3DD8" w:rsidP="000B3DD8">
      <w:pPr>
        <w:pStyle w:val="Titre1"/>
        <w:numPr>
          <w:ilvl w:val="1"/>
          <w:numId w:val="6"/>
        </w:numPr>
      </w:pPr>
      <w:bookmarkStart w:id="32" w:name="_Toc49631555"/>
      <w:bookmarkStart w:id="33" w:name="_Toc49632190"/>
      <w:r w:rsidRPr="00E668C6">
        <w:lastRenderedPageBreak/>
        <w:t>Mise en œuvre du Projet Dividende Démographique &amp; Santé Communautaire (MS-FOSAD-UNFPA)</w:t>
      </w:r>
      <w:bookmarkEnd w:id="32"/>
      <w:bookmarkEnd w:id="33"/>
    </w:p>
    <w:p w14:paraId="1949FB91" w14:textId="77777777" w:rsidR="000B3DD8" w:rsidRPr="009529D3" w:rsidRDefault="000B3DD8" w:rsidP="000B3DD8">
      <w:pPr>
        <w:spacing w:after="0"/>
        <w:rPr>
          <w:rFonts w:ascii="Arial Narrow" w:hAnsi="Arial Narrow" w:cs="Times New Roman"/>
        </w:rPr>
      </w:pPr>
      <w:r>
        <w:rPr>
          <w:rFonts w:ascii="Arial Narrow" w:hAnsi="Arial Narrow" w:cs="Times New Roman"/>
        </w:rPr>
        <w:t xml:space="preserve">La </w:t>
      </w:r>
      <w:r w:rsidRPr="009529D3">
        <w:rPr>
          <w:rFonts w:ascii="Arial Narrow" w:hAnsi="Arial Narrow" w:cs="Times New Roman"/>
        </w:rPr>
        <w:t xml:space="preserve">Fondation et Santé Durable (FOSAD) à travers la Direction de la Santé Familiale et de la Nutrition (DNSFN) et du Ministère de la Santé (MS) a bénéficiée d’un financement de l’UNFPA. Ce projet </w:t>
      </w:r>
      <w:r>
        <w:rPr>
          <w:rFonts w:ascii="Arial Narrow" w:hAnsi="Arial Narrow" w:cs="Times New Roman"/>
        </w:rPr>
        <w:t>prévu pour durer 3 ans a démarré au 4</w:t>
      </w:r>
      <w:r w:rsidRPr="009529D3">
        <w:rPr>
          <w:rFonts w:ascii="Arial Narrow" w:hAnsi="Arial Narrow" w:cs="Times New Roman"/>
        </w:rPr>
        <w:t xml:space="preserve">ème trimestre de 2017. </w:t>
      </w:r>
      <w:r>
        <w:rPr>
          <w:rFonts w:ascii="Arial Narrow" w:hAnsi="Arial Narrow" w:cs="Times New Roman"/>
        </w:rPr>
        <w:t>I</w:t>
      </w:r>
      <w:r w:rsidRPr="009529D3">
        <w:rPr>
          <w:rFonts w:ascii="Arial Narrow" w:hAnsi="Arial Narrow" w:cs="Times New Roman"/>
        </w:rPr>
        <w:t>l s’agit d’un projet modèle de partenariat (Public-Privé) au niveau local en Basse Guinée, notamment dans la Préfecture de Dubréka et les environs de Coyah et banlieues de Conakry.</w:t>
      </w:r>
      <w:r>
        <w:rPr>
          <w:rFonts w:ascii="Arial Narrow" w:hAnsi="Arial Narrow" w:cs="Times New Roman"/>
        </w:rPr>
        <w:t xml:space="preserve"> </w:t>
      </w:r>
      <w:r w:rsidRPr="009529D3">
        <w:rPr>
          <w:rFonts w:ascii="Arial Narrow" w:hAnsi="Arial Narrow" w:cs="Times New Roman"/>
        </w:rPr>
        <w:t>L’exécution se fera autour de la Polyclinique sise au quartier Kirikilan.</w:t>
      </w:r>
    </w:p>
    <w:p w14:paraId="46449FD9" w14:textId="77777777" w:rsidR="000B3DD8" w:rsidRDefault="000B3DD8" w:rsidP="000B3DD8">
      <w:pPr>
        <w:rPr>
          <w:rFonts w:ascii="Arial Narrow" w:hAnsi="Arial Narrow" w:cs="Times New Roman"/>
        </w:rPr>
      </w:pPr>
      <w:r w:rsidRPr="009529D3">
        <w:rPr>
          <w:rFonts w:ascii="Arial Narrow" w:hAnsi="Arial Narrow" w:cs="Times New Roman"/>
        </w:rPr>
        <w:t>L’objectif général du projet étant de contribuer à l’amélioration de la santé maternelle et infantile pour un meilleur dividende démographique et une autonomisation des femmes et jeunes filles au niveau local dans la Préfecture de Dubréka.</w:t>
      </w:r>
    </w:p>
    <w:p w14:paraId="51B52E2F" w14:textId="77777777" w:rsidR="000B3DD8" w:rsidRDefault="000B3DD8" w:rsidP="000B3DD8">
      <w:pPr>
        <w:rPr>
          <w:rFonts w:ascii="Arial Narrow" w:hAnsi="Arial Narrow" w:cs="Times New Roman"/>
        </w:rPr>
      </w:pPr>
      <w:r>
        <w:rPr>
          <w:rFonts w:ascii="Arial Narrow" w:hAnsi="Arial Narrow" w:cs="Times New Roman"/>
        </w:rPr>
        <w:t>Paquet d’activités réalisé :</w:t>
      </w:r>
    </w:p>
    <w:p w14:paraId="2EB99F8F" w14:textId="77777777" w:rsidR="000B3DD8" w:rsidRPr="00692F5E" w:rsidRDefault="000B3DD8" w:rsidP="000B3DD8">
      <w:pPr>
        <w:pStyle w:val="Paragraphedeliste"/>
        <w:numPr>
          <w:ilvl w:val="0"/>
          <w:numId w:val="11"/>
        </w:numPr>
        <w:spacing w:after="0" w:line="240" w:lineRule="auto"/>
        <w:rPr>
          <w:rFonts w:ascii="Arial Narrow" w:hAnsi="Arial Narrow"/>
          <w:bCs/>
        </w:rPr>
      </w:pPr>
      <w:r w:rsidRPr="00692F5E">
        <w:rPr>
          <w:rFonts w:ascii="Arial Narrow" w:hAnsi="Arial Narrow"/>
          <w:bCs/>
        </w:rPr>
        <w:t>Formation des prestataires de santé des structures privées en SONU et SONUB :</w:t>
      </w:r>
    </w:p>
    <w:p w14:paraId="222B0CAA" w14:textId="77777777" w:rsidR="000B3DD8" w:rsidRPr="00692F5E" w:rsidRDefault="000B3DD8" w:rsidP="000B3DD8">
      <w:pPr>
        <w:pStyle w:val="Paragraphedeliste"/>
        <w:numPr>
          <w:ilvl w:val="0"/>
          <w:numId w:val="11"/>
        </w:numPr>
        <w:spacing w:after="0" w:line="240" w:lineRule="auto"/>
        <w:rPr>
          <w:rFonts w:ascii="Arial Narrow" w:hAnsi="Arial Narrow"/>
          <w:bCs/>
        </w:rPr>
      </w:pPr>
      <w:r w:rsidRPr="00692F5E">
        <w:rPr>
          <w:rFonts w:ascii="Arial Narrow" w:hAnsi="Arial Narrow"/>
          <w:bCs/>
        </w:rPr>
        <w:t>Formation en partage des protocoles et bonnes pratiques</w:t>
      </w:r>
    </w:p>
    <w:p w14:paraId="689195D2" w14:textId="77777777" w:rsidR="000B3DD8" w:rsidRPr="00692F5E" w:rsidRDefault="000B3DD8" w:rsidP="000B3DD8">
      <w:pPr>
        <w:pStyle w:val="Paragraphedeliste"/>
        <w:numPr>
          <w:ilvl w:val="0"/>
          <w:numId w:val="11"/>
        </w:numPr>
        <w:spacing w:after="0" w:line="240" w:lineRule="auto"/>
        <w:rPr>
          <w:rFonts w:ascii="Arial Narrow" w:hAnsi="Arial Narrow"/>
          <w:bCs/>
        </w:rPr>
      </w:pPr>
      <w:r w:rsidRPr="00692F5E">
        <w:rPr>
          <w:rFonts w:ascii="Arial Narrow" w:hAnsi="Arial Narrow"/>
          <w:bCs/>
        </w:rPr>
        <w:t xml:space="preserve">Appui au laboratoire pour la qualité des soins et de diagnostic  </w:t>
      </w:r>
    </w:p>
    <w:p w14:paraId="342D7EBE" w14:textId="77777777" w:rsidR="000B3DD8" w:rsidRPr="00692F5E" w:rsidRDefault="000B3DD8" w:rsidP="000B3DD8">
      <w:pPr>
        <w:pStyle w:val="Paragraphedeliste"/>
        <w:numPr>
          <w:ilvl w:val="0"/>
          <w:numId w:val="11"/>
        </w:numPr>
        <w:spacing w:after="0" w:line="240" w:lineRule="auto"/>
        <w:rPr>
          <w:rFonts w:ascii="Arial Narrow" w:hAnsi="Arial Narrow"/>
          <w:bCs/>
        </w:rPr>
      </w:pPr>
      <w:r w:rsidRPr="00692F5E">
        <w:rPr>
          <w:rFonts w:ascii="Arial Narrow" w:hAnsi="Arial Narrow"/>
          <w:bCs/>
        </w:rPr>
        <w:t>Activités de sensibilisation de la population de Kirikilan</w:t>
      </w:r>
    </w:p>
    <w:p w14:paraId="5064169D" w14:textId="77777777" w:rsidR="000B3DD8" w:rsidRDefault="000B3DD8" w:rsidP="000B3DD8">
      <w:pPr>
        <w:pStyle w:val="Paragraphedeliste"/>
        <w:numPr>
          <w:ilvl w:val="0"/>
          <w:numId w:val="11"/>
        </w:numPr>
        <w:spacing w:after="0" w:line="240" w:lineRule="auto"/>
        <w:rPr>
          <w:rFonts w:ascii="Arial Narrow" w:hAnsi="Arial Narrow"/>
          <w:bCs/>
        </w:rPr>
      </w:pPr>
      <w:r w:rsidRPr="00692F5E">
        <w:rPr>
          <w:rFonts w:ascii="Arial Narrow" w:hAnsi="Arial Narrow"/>
          <w:bCs/>
        </w:rPr>
        <w:t>Cartographie (géocodes) et biométrie des populations cibles</w:t>
      </w:r>
    </w:p>
    <w:p w14:paraId="2AC46BD7" w14:textId="77777777" w:rsidR="000B3DD8" w:rsidRDefault="000B3DD8" w:rsidP="000B3DD8">
      <w:pPr>
        <w:pStyle w:val="Paragraphedeliste"/>
        <w:spacing w:after="0" w:line="240" w:lineRule="auto"/>
        <w:rPr>
          <w:rFonts w:ascii="Arial Narrow" w:hAnsi="Arial Narrow"/>
          <w:bCs/>
        </w:rPr>
      </w:pPr>
    </w:p>
    <w:p w14:paraId="4C69D2AC" w14:textId="77777777" w:rsidR="000B3DD8" w:rsidRPr="00E04F21" w:rsidRDefault="000B3DD8" w:rsidP="000B3DD8">
      <w:pPr>
        <w:rPr>
          <w:rFonts w:ascii="Arial Narrow" w:hAnsi="Arial Narrow" w:cs="Times New Roman"/>
          <w:b/>
          <w:bCs/>
          <w:sz w:val="24"/>
          <w:szCs w:val="24"/>
        </w:rPr>
      </w:pPr>
      <w:bookmarkStart w:id="34" w:name="_Toc378731778"/>
      <w:r w:rsidRPr="00E04F21">
        <w:rPr>
          <w:rFonts w:ascii="Arial Narrow" w:hAnsi="Arial Narrow" w:cs="Times New Roman"/>
          <w:b/>
          <w:bCs/>
          <w:sz w:val="24"/>
          <w:szCs w:val="24"/>
        </w:rPr>
        <mc:AlternateContent>
          <mc:Choice Requires="wps">
            <w:drawing>
              <wp:anchor distT="0" distB="0" distL="114300" distR="114300" simplePos="0" relativeHeight="251659264" behindDoc="0" locked="0" layoutInCell="1" allowOverlap="1" wp14:anchorId="219BF85F" wp14:editId="7794256E">
                <wp:simplePos x="0" y="0"/>
                <wp:positionH relativeFrom="margin">
                  <wp:posOffset>85725</wp:posOffset>
                </wp:positionH>
                <wp:positionV relativeFrom="paragraph">
                  <wp:posOffset>401002</wp:posOffset>
                </wp:positionV>
                <wp:extent cx="3400425" cy="2509520"/>
                <wp:effectExtent l="0" t="0" r="0" b="5080"/>
                <wp:wrapSquare wrapText="bothSides"/>
                <wp:docPr id="27" name="Zone de texte 27"/>
                <wp:cNvGraphicFramePr/>
                <a:graphic xmlns:a="http://schemas.openxmlformats.org/drawingml/2006/main">
                  <a:graphicData uri="http://schemas.microsoft.com/office/word/2010/wordprocessingShape">
                    <wps:wsp>
                      <wps:cNvSpPr txBox="1"/>
                      <wps:spPr>
                        <a:xfrm>
                          <a:off x="0" y="0"/>
                          <a:ext cx="3400425" cy="2509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6="http://schemas.microsoft.com/office/drawing/2014/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1F64C2E6" w14:textId="77777777" w:rsidR="000B3DD8" w:rsidRDefault="000B3DD8" w:rsidP="000B3DD8">
                            <w:r>
                              <w:rPr>
                                <w:noProof/>
                                <w:lang w:eastAsia="fr-FR"/>
                              </w:rPr>
                              <w:drawing>
                                <wp:inline distT="0" distB="0" distL="0" distR="0" wp14:anchorId="44A68188" wp14:editId="42C42548">
                                  <wp:extent cx="3182490" cy="2387447"/>
                                  <wp:effectExtent l="19050" t="19050" r="18415" b="1333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artition de pop par Secteur.pdf"/>
                                          <pic:cNvPicPr/>
                                        </pic:nvPicPr>
                                        <pic:blipFill>
                                          <a:blip r:embed="rId8">
                                            <a:extLst>
                                              <a:ext uri="{28A0092B-C50C-407E-A947-70E740481C1C}">
                                                <a14:useLocalDpi xmlns:a14="http://schemas.microsoft.com/office/drawing/2010/main" val="0"/>
                                              </a:ext>
                                            </a:extLst>
                                          </a:blip>
                                          <a:stretch>
                                            <a:fillRect/>
                                          </a:stretch>
                                        </pic:blipFill>
                                        <pic:spPr>
                                          <a:xfrm>
                                            <a:off x="0" y="0"/>
                                            <a:ext cx="3190148" cy="2393192"/>
                                          </a:xfrm>
                                          <a:prstGeom prst="rect">
                                            <a:avLst/>
                                          </a:prstGeom>
                                          <a:ln>
                                            <a:solidFill>
                                              <a:srgbClr val="4F81BD"/>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BF85F" id="_x0000_t202" coordsize="21600,21600" o:spt="202" path="m,l,21600r21600,l21600,xe">
                <v:stroke joinstyle="miter"/>
                <v:path gradientshapeok="t" o:connecttype="rect"/>
              </v:shapetype>
              <v:shape id="Zone de texte 27" o:spid="_x0000_s1026" type="#_x0000_t202" style="position:absolute;margin-left:6.75pt;margin-top:31.55pt;width:267.75pt;height:19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" filled="f" stroked="f">
                <v:textbox>
                  <w:txbxContent>
                    <w:p w14:paraId="1F64C2E6" w14:textId="77777777" w:rsidR="000B3DD8" w:rsidRDefault="000B3DD8" w:rsidP="000B3DD8">
                      <w:r>
                        <w:rPr>
                          <w:noProof/>
                          <w:lang w:eastAsia="fr-FR"/>
                        </w:rPr>
                        <w:drawing>
                          <wp:inline distT="0" distB="0" distL="0" distR="0" wp14:anchorId="44A68188" wp14:editId="42C42548">
                            <wp:extent cx="3182490" cy="2387447"/>
                            <wp:effectExtent l="19050" t="19050" r="18415" b="1333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artition de pop par Secteur.pdf"/>
                                    <pic:cNvPicPr/>
                                  </pic:nvPicPr>
                                  <pic:blipFill>
                                    <a:blip r:embed="rId8">
                                      <a:extLst>
                                        <a:ext uri="{28A0092B-C50C-407E-A947-70E740481C1C}">
                                          <a14:useLocalDpi xmlns:a14="http://schemas.microsoft.com/office/drawing/2010/main" val="0"/>
                                        </a:ext>
                                      </a:extLst>
                                    </a:blip>
                                    <a:stretch>
                                      <a:fillRect/>
                                    </a:stretch>
                                  </pic:blipFill>
                                  <pic:spPr>
                                    <a:xfrm>
                                      <a:off x="0" y="0"/>
                                      <a:ext cx="3190148" cy="2393192"/>
                                    </a:xfrm>
                                    <a:prstGeom prst="rect">
                                      <a:avLst/>
                                    </a:prstGeom>
                                    <a:ln>
                                      <a:solidFill>
                                        <a:srgbClr val="4F81BD"/>
                                      </a:solidFill>
                                    </a:ln>
                                  </pic:spPr>
                                </pic:pic>
                              </a:graphicData>
                            </a:graphic>
                          </wp:inline>
                        </w:drawing>
                      </w:r>
                    </w:p>
                  </w:txbxContent>
                </v:textbox>
                <w10:wrap type="square" anchorx="margin"/>
              </v:shape>
            </w:pict>
          </mc:Fallback>
        </mc:AlternateContent>
      </w:r>
      <w:r w:rsidRPr="00E04F21">
        <w:rPr>
          <w:rFonts w:ascii="Arial Narrow" w:hAnsi="Arial Narrow" w:cs="Times New Roman"/>
          <w:b/>
          <w:bCs/>
          <w:sz w:val="24"/>
          <w:szCs w:val="24"/>
        </w:rPr>
        <w:t xml:space="preserve">       Carte géocodes de la population par Secteur du Quartier</w:t>
      </w:r>
      <w:r w:rsidRPr="00E04F21">
        <w:rPr>
          <w:rFonts w:ascii="Arial Narrow" w:hAnsi="Arial Narrow" w:cs="Times New Roman"/>
          <w:sz w:val="24"/>
          <w:szCs w:val="24"/>
        </w:rPr>
        <w:t xml:space="preserve"> </w:t>
      </w:r>
      <w:r w:rsidRPr="00E04F21">
        <w:rPr>
          <w:rFonts w:ascii="Arial Narrow" w:hAnsi="Arial Narrow" w:cs="Times New Roman"/>
          <w:b/>
          <w:bCs/>
          <w:sz w:val="24"/>
          <w:szCs w:val="24"/>
        </w:rPr>
        <w:t>Kirikila</w:t>
      </w:r>
      <w:bookmarkEnd w:id="34"/>
      <w:r w:rsidRPr="00E04F21">
        <w:rPr>
          <w:rFonts w:ascii="Arial Narrow" w:hAnsi="Arial Narrow" w:cs="Times New Roman"/>
          <w:b/>
          <w:bCs/>
          <w:sz w:val="24"/>
          <w:szCs w:val="24"/>
        </w:rPr>
        <w:t xml:space="preserve">n </w:t>
      </w:r>
    </w:p>
    <w:p w14:paraId="12C3F9D6" w14:textId="77777777" w:rsidR="000B3DD8" w:rsidRDefault="000B3DD8" w:rsidP="000B3DD8">
      <w:pPr>
        <w:pStyle w:val="Titre2"/>
        <w:numPr>
          <w:ilvl w:val="0"/>
          <w:numId w:val="0"/>
        </w:numPr>
        <w:ind w:left="-1418"/>
        <w:rPr>
          <w:rFonts w:ascii="Arial Narrow" w:hAnsi="Arial Narrow" w:cs="Arial"/>
        </w:rPr>
      </w:pPr>
    </w:p>
    <w:p w14:paraId="0354490F" w14:textId="77777777" w:rsidR="000B3DD8" w:rsidRPr="00DC7F4C" w:rsidRDefault="000B3DD8" w:rsidP="000B3DD8">
      <w:pPr>
        <w:rPr>
          <w:lang w:eastAsia="zh-CN"/>
        </w:rPr>
      </w:pPr>
    </w:p>
    <w:p w14:paraId="53836E68" w14:textId="77777777" w:rsidR="000B3DD8" w:rsidRPr="00DC7F4C" w:rsidRDefault="000B3DD8" w:rsidP="000B3DD8">
      <w:pPr>
        <w:rPr>
          <w:lang w:eastAsia="zh-CN"/>
        </w:rPr>
      </w:pPr>
    </w:p>
    <w:p w14:paraId="742F8132" w14:textId="77777777" w:rsidR="000B3DD8" w:rsidRPr="00DC7F4C" w:rsidRDefault="000B3DD8" w:rsidP="000B3DD8">
      <w:pPr>
        <w:rPr>
          <w:lang w:eastAsia="zh-CN"/>
        </w:rPr>
      </w:pPr>
    </w:p>
    <w:p w14:paraId="5D7C3DD8" w14:textId="77777777" w:rsidR="000B3DD8" w:rsidRPr="00DC7F4C" w:rsidRDefault="000B3DD8" w:rsidP="000B3DD8">
      <w:pPr>
        <w:rPr>
          <w:lang w:eastAsia="zh-CN"/>
        </w:rPr>
      </w:pPr>
    </w:p>
    <w:p w14:paraId="025D69DB" w14:textId="77777777" w:rsidR="000B3DD8" w:rsidRPr="00DC7F4C" w:rsidRDefault="000B3DD8" w:rsidP="000B3DD8">
      <w:pPr>
        <w:rPr>
          <w:lang w:eastAsia="zh-CN"/>
        </w:rPr>
      </w:pPr>
    </w:p>
    <w:p w14:paraId="54B296A1" w14:textId="77777777" w:rsidR="000B3DD8" w:rsidRPr="00DC7F4C" w:rsidRDefault="000B3DD8" w:rsidP="000B3DD8">
      <w:pPr>
        <w:rPr>
          <w:lang w:eastAsia="zh-CN"/>
        </w:rPr>
      </w:pPr>
    </w:p>
    <w:p w14:paraId="62496E70" w14:textId="77777777" w:rsidR="000B3DD8" w:rsidRPr="00DC7F4C" w:rsidRDefault="000B3DD8" w:rsidP="000B3DD8">
      <w:pPr>
        <w:rPr>
          <w:lang w:eastAsia="zh-CN"/>
        </w:rPr>
      </w:pPr>
    </w:p>
    <w:p w14:paraId="361EA843" w14:textId="77777777" w:rsidR="000B3DD8" w:rsidRPr="00DC7F4C" w:rsidRDefault="000B3DD8" w:rsidP="000B3DD8">
      <w:pPr>
        <w:rPr>
          <w:lang w:eastAsia="zh-CN"/>
        </w:rPr>
      </w:pPr>
    </w:p>
    <w:p w14:paraId="5129E98E" w14:textId="77777777" w:rsidR="000B3DD8" w:rsidRPr="00E668C6" w:rsidRDefault="000B3DD8" w:rsidP="000B3DD8">
      <w:pPr>
        <w:pStyle w:val="Titre1"/>
        <w:numPr>
          <w:ilvl w:val="1"/>
          <w:numId w:val="6"/>
        </w:numPr>
      </w:pPr>
      <w:bookmarkStart w:id="35" w:name="_Toc411577732"/>
      <w:bookmarkStart w:id="36" w:name="_Toc411595603"/>
      <w:bookmarkStart w:id="37" w:name="_Toc49631556"/>
      <w:bookmarkStart w:id="38" w:name="_Toc49632191"/>
      <w:r w:rsidRPr="00E668C6">
        <w:t>POURSUITE DU PROJET DIVIDENDE DEMOGRAPHIQUE &amp; SANTE COMMUNAUTAIRE (MS-FOSAD-UNFPA)</w:t>
      </w:r>
      <w:bookmarkEnd w:id="35"/>
      <w:bookmarkEnd w:id="36"/>
      <w:bookmarkEnd w:id="37"/>
      <w:bookmarkEnd w:id="38"/>
    </w:p>
    <w:p w14:paraId="4FF1D6E9" w14:textId="77777777" w:rsidR="000B3DD8" w:rsidRPr="00DB17B7" w:rsidRDefault="000B3DD8" w:rsidP="000B3DD8">
      <w:pPr>
        <w:spacing w:after="0" w:line="240" w:lineRule="auto"/>
        <w:rPr>
          <w:rFonts w:ascii="Arial Narrow" w:hAnsi="Arial Narrow" w:cs="Times New Roman"/>
          <w:sz w:val="24"/>
          <w:szCs w:val="24"/>
        </w:rPr>
      </w:pPr>
      <w:r w:rsidRPr="00DB17B7">
        <w:rPr>
          <w:rFonts w:ascii="Arial Narrow" w:hAnsi="Arial Narrow" w:cs="Times New Roman"/>
          <w:sz w:val="24"/>
          <w:szCs w:val="24"/>
        </w:rPr>
        <w:t>Pour l’année 2018, le but était de :</w:t>
      </w:r>
    </w:p>
    <w:p w14:paraId="0BCE78D2" w14:textId="77777777" w:rsidR="000B3DD8" w:rsidRPr="00DB17B7" w:rsidRDefault="000B3DD8" w:rsidP="000B3DD8">
      <w:pPr>
        <w:pStyle w:val="Paragraphedeliste"/>
        <w:numPr>
          <w:ilvl w:val="0"/>
          <w:numId w:val="10"/>
        </w:numPr>
        <w:spacing w:after="0" w:line="240" w:lineRule="auto"/>
        <w:rPr>
          <w:rFonts w:ascii="Arial Narrow" w:hAnsi="Arial Narrow"/>
          <w:sz w:val="24"/>
          <w:szCs w:val="24"/>
        </w:rPr>
      </w:pPr>
      <w:r w:rsidRPr="00DB17B7">
        <w:rPr>
          <w:rFonts w:ascii="Arial Narrow" w:hAnsi="Arial Narrow"/>
          <w:sz w:val="24"/>
          <w:szCs w:val="24"/>
        </w:rPr>
        <w:t>Faire un suivi démographique des populations cibles issues du dénombrement d’Octobre 2017 (en utilisant des Relais Communautaires RECO et Agents de santé communautaire ASC dans le cadre de l’opérationnalisation de la Politique nationale de Santé communautaire). En enregistrant les mouvements des populations cibles notamment les nouveaux ménages arrivés dans les Carrés et Secteur du Quartier</w:t>
      </w:r>
    </w:p>
    <w:p w14:paraId="0AFDD168" w14:textId="77777777" w:rsidR="000B3DD8" w:rsidRPr="00DB17B7" w:rsidRDefault="000B3DD8" w:rsidP="000B3DD8">
      <w:pPr>
        <w:pStyle w:val="Paragraphedeliste"/>
        <w:numPr>
          <w:ilvl w:val="0"/>
          <w:numId w:val="10"/>
        </w:numPr>
        <w:spacing w:after="0" w:line="240" w:lineRule="auto"/>
        <w:rPr>
          <w:rFonts w:ascii="Arial Narrow" w:hAnsi="Arial Narrow"/>
          <w:sz w:val="24"/>
          <w:szCs w:val="24"/>
        </w:rPr>
      </w:pPr>
      <w:r w:rsidRPr="00DB17B7">
        <w:rPr>
          <w:rFonts w:ascii="Arial Narrow" w:hAnsi="Arial Narrow"/>
          <w:sz w:val="24"/>
          <w:szCs w:val="24"/>
        </w:rPr>
        <w:t xml:space="preserve">Sensibiliser les populations cibles pour influencer et satisfaire </w:t>
      </w:r>
      <w:r w:rsidRPr="00DB17B7">
        <w:rPr>
          <w:rFonts w:ascii="Arial Narrow" w:hAnsi="Arial Narrow"/>
          <w:bCs/>
          <w:sz w:val="24"/>
          <w:szCs w:val="24"/>
        </w:rPr>
        <w:t xml:space="preserve">leur demande </w:t>
      </w:r>
    </w:p>
    <w:p w14:paraId="46573056" w14:textId="77777777" w:rsidR="000B3DD8" w:rsidRPr="00DB17B7" w:rsidRDefault="000B3DD8" w:rsidP="000B3DD8">
      <w:pPr>
        <w:pStyle w:val="Paragraphedeliste"/>
        <w:numPr>
          <w:ilvl w:val="0"/>
          <w:numId w:val="10"/>
        </w:numPr>
        <w:spacing w:after="0" w:line="240" w:lineRule="auto"/>
        <w:rPr>
          <w:rFonts w:ascii="Arial Narrow" w:hAnsi="Arial Narrow"/>
          <w:sz w:val="24"/>
          <w:szCs w:val="24"/>
        </w:rPr>
      </w:pPr>
      <w:r w:rsidRPr="00DB17B7">
        <w:rPr>
          <w:rFonts w:ascii="Arial Narrow" w:hAnsi="Arial Narrow"/>
          <w:sz w:val="24"/>
          <w:szCs w:val="24"/>
        </w:rPr>
        <w:lastRenderedPageBreak/>
        <w:t xml:space="preserve">Améliorer l’offre et l’utilisation des services, en particulier de SR/PF, vaccination des enfants et des mères, la vérification des extraits de naissance, la notification des décès maternels et néonatals et des évènements anormaux.  </w:t>
      </w:r>
    </w:p>
    <w:p w14:paraId="19E63DDE" w14:textId="77777777" w:rsidR="000B3DD8" w:rsidRPr="00DB17B7" w:rsidRDefault="000B3DD8" w:rsidP="000B3DD8">
      <w:pPr>
        <w:pStyle w:val="Paragraphedeliste"/>
        <w:spacing w:after="0" w:line="240" w:lineRule="auto"/>
        <w:rPr>
          <w:rFonts w:ascii="Arial Narrow" w:hAnsi="Arial Narrow"/>
          <w:sz w:val="24"/>
          <w:szCs w:val="24"/>
        </w:rPr>
      </w:pPr>
    </w:p>
    <w:p w14:paraId="30E03355" w14:textId="77777777" w:rsidR="000B3DD8" w:rsidRPr="00DB17B7" w:rsidRDefault="000B3DD8" w:rsidP="000B3DD8">
      <w:pPr>
        <w:rPr>
          <w:rFonts w:ascii="Arial Narrow" w:hAnsi="Arial Narrow"/>
          <w:sz w:val="24"/>
          <w:szCs w:val="24"/>
        </w:rPr>
      </w:pPr>
      <w:r w:rsidRPr="00DB17B7">
        <w:rPr>
          <w:rFonts w:ascii="Arial Narrow" w:hAnsi="Arial Narrow"/>
          <w:sz w:val="24"/>
          <w:szCs w:val="24"/>
        </w:rPr>
        <w:t xml:space="preserve">Les activités socio-démographiques ont été l’occasion de contribuer à la mise en œuvre de la politique nationale de santé communautaire au niveau local. </w:t>
      </w:r>
    </w:p>
    <w:p w14:paraId="241E1ADF" w14:textId="77777777" w:rsidR="000B3DD8" w:rsidRDefault="000B3DD8" w:rsidP="000B3DD8">
      <w:pPr>
        <w:pStyle w:val="Paragraphedeliste"/>
        <w:spacing w:after="0" w:line="240" w:lineRule="auto"/>
        <w:ind w:left="0"/>
        <w:jc w:val="both"/>
        <w:rPr>
          <w:rFonts w:ascii="Arial Narrow" w:hAnsi="Arial Narrow"/>
          <w:sz w:val="24"/>
        </w:rPr>
      </w:pPr>
      <w:r>
        <w:rPr>
          <w:rFonts w:ascii="Arial Narrow" w:hAnsi="Arial Narrow"/>
          <w:sz w:val="24"/>
        </w:rPr>
        <w:t>Les principaux résultats issus de ce projet montrent que :</w:t>
      </w:r>
    </w:p>
    <w:p w14:paraId="31F9B26E" w14:textId="77777777" w:rsidR="000B3DD8" w:rsidRDefault="000B3DD8" w:rsidP="000B3DD8">
      <w:pPr>
        <w:pStyle w:val="Paragraphedeliste"/>
        <w:numPr>
          <w:ilvl w:val="0"/>
          <w:numId w:val="9"/>
        </w:numPr>
        <w:spacing w:after="0" w:line="240" w:lineRule="auto"/>
        <w:jc w:val="both"/>
        <w:rPr>
          <w:rFonts w:ascii="Arial Narrow" w:hAnsi="Arial Narrow"/>
          <w:sz w:val="24"/>
        </w:rPr>
      </w:pPr>
      <w:r>
        <w:rPr>
          <w:rFonts w:ascii="Arial Narrow" w:hAnsi="Arial Narrow"/>
          <w:sz w:val="24"/>
        </w:rPr>
        <w:t xml:space="preserve">La population de l’aire de couverture (Quartier de Kirikilan, Commune Urbaine de </w:t>
      </w:r>
      <w:proofErr w:type="spellStart"/>
      <w:r>
        <w:rPr>
          <w:rFonts w:ascii="Arial Narrow" w:hAnsi="Arial Narrow"/>
          <w:sz w:val="24"/>
        </w:rPr>
        <w:t>Dubreka</w:t>
      </w:r>
      <w:proofErr w:type="spellEnd"/>
      <w:r>
        <w:rPr>
          <w:rFonts w:ascii="Arial Narrow" w:hAnsi="Arial Narrow"/>
          <w:sz w:val="24"/>
        </w:rPr>
        <w:t>) assignée par la DPS est de 8 824 habitants dont (Secteur 1 25,7%, Secteur 2 20,9%, Secteur 3 27,9%, Secteur 4 18,7%, Secteur 5 6’8%)</w:t>
      </w:r>
    </w:p>
    <w:p w14:paraId="533F027F" w14:textId="77777777" w:rsidR="000B3DD8" w:rsidRDefault="000B3DD8" w:rsidP="000B3DD8">
      <w:pPr>
        <w:pStyle w:val="Paragraphedeliste"/>
        <w:numPr>
          <w:ilvl w:val="0"/>
          <w:numId w:val="9"/>
        </w:numPr>
        <w:spacing w:after="0" w:line="240" w:lineRule="auto"/>
        <w:jc w:val="both"/>
        <w:rPr>
          <w:rFonts w:ascii="Arial Narrow" w:hAnsi="Arial Narrow"/>
          <w:sz w:val="24"/>
        </w:rPr>
      </w:pPr>
      <w:r>
        <w:rPr>
          <w:rFonts w:ascii="Arial Narrow" w:hAnsi="Arial Narrow"/>
          <w:sz w:val="24"/>
        </w:rPr>
        <w:t>Un</w:t>
      </w:r>
      <w:r w:rsidRPr="00DF631E">
        <w:rPr>
          <w:rFonts w:ascii="Arial Narrow" w:hAnsi="Arial Narrow"/>
          <w:sz w:val="24"/>
        </w:rPr>
        <w:t xml:space="preserve"> total </w:t>
      </w:r>
      <w:r>
        <w:rPr>
          <w:rFonts w:ascii="Arial Narrow" w:hAnsi="Arial Narrow"/>
          <w:sz w:val="24"/>
        </w:rPr>
        <w:t xml:space="preserve">de </w:t>
      </w:r>
      <w:r w:rsidRPr="00DF631E">
        <w:rPr>
          <w:rFonts w:ascii="Arial Narrow" w:hAnsi="Arial Narrow"/>
          <w:sz w:val="24"/>
        </w:rPr>
        <w:t xml:space="preserve">2 782 femmes en âge de procréer </w:t>
      </w:r>
      <w:r>
        <w:rPr>
          <w:rFonts w:ascii="Arial Narrow" w:hAnsi="Arial Narrow"/>
          <w:sz w:val="24"/>
        </w:rPr>
        <w:t xml:space="preserve">ou en voie de l’être (12-49 ans) </w:t>
      </w:r>
      <w:r w:rsidRPr="00DF631E">
        <w:rPr>
          <w:rFonts w:ascii="Arial Narrow" w:hAnsi="Arial Narrow"/>
          <w:sz w:val="24"/>
        </w:rPr>
        <w:t>à suivre dans les 5 secteu</w:t>
      </w:r>
      <w:r>
        <w:rPr>
          <w:rFonts w:ascii="Arial Narrow" w:hAnsi="Arial Narrow"/>
          <w:sz w:val="24"/>
        </w:rPr>
        <w:t xml:space="preserve">rs du nouveau quartier </w:t>
      </w:r>
      <w:proofErr w:type="spellStart"/>
      <w:r>
        <w:rPr>
          <w:rFonts w:ascii="Arial Narrow" w:hAnsi="Arial Narrow"/>
          <w:sz w:val="24"/>
        </w:rPr>
        <w:t>Kirikila</w:t>
      </w:r>
      <w:proofErr w:type="spellEnd"/>
    </w:p>
    <w:p w14:paraId="334FA87D" w14:textId="77777777" w:rsidR="000B3DD8" w:rsidRPr="000D244F" w:rsidRDefault="000B3DD8" w:rsidP="000B3DD8">
      <w:pPr>
        <w:pStyle w:val="Paragraphedeliste"/>
        <w:numPr>
          <w:ilvl w:val="0"/>
          <w:numId w:val="9"/>
        </w:numPr>
        <w:spacing w:after="0" w:line="240" w:lineRule="auto"/>
        <w:jc w:val="both"/>
        <w:rPr>
          <w:rFonts w:ascii="Arial Narrow" w:hAnsi="Arial Narrow"/>
          <w:sz w:val="24"/>
        </w:rPr>
      </w:pPr>
      <w:r w:rsidRPr="000D244F">
        <w:rPr>
          <w:rFonts w:ascii="Arial Narrow" w:hAnsi="Arial Narrow"/>
          <w:sz w:val="24"/>
        </w:rPr>
        <w:t>Sur les 8 179 interrogés ; 2 992 n’avaient aucun niveau d’instruction (36,6%) pendant que 279 avaient un niveau préscolaire (3,4%) ; niveau primaire 2 291 (28%) ; collège 1 151 (14,1%) ; lycée 633 (7,7%) ; professionnel/technique 201 (2,5%) ; universitaire 632 (7,7%).</w:t>
      </w:r>
    </w:p>
    <w:p w14:paraId="11FFA1E6" w14:textId="77777777" w:rsidR="000B3DD8" w:rsidRPr="000D244F" w:rsidRDefault="000B3DD8" w:rsidP="000B3DD8">
      <w:pPr>
        <w:pStyle w:val="Paragraphedeliste"/>
        <w:numPr>
          <w:ilvl w:val="0"/>
          <w:numId w:val="9"/>
        </w:numPr>
        <w:spacing w:after="0" w:line="240" w:lineRule="auto"/>
        <w:jc w:val="both"/>
        <w:rPr>
          <w:rFonts w:ascii="Arial Narrow" w:hAnsi="Arial Narrow"/>
          <w:sz w:val="24"/>
        </w:rPr>
      </w:pPr>
      <w:r w:rsidRPr="000D244F">
        <w:rPr>
          <w:rFonts w:ascii="Arial Narrow" w:hAnsi="Arial Narrow"/>
          <w:sz w:val="24"/>
        </w:rPr>
        <w:t xml:space="preserve">Parmi les raisons de fréquentation de l’école, on note 1 343 sur les 2 893 (46,4%) pour manque ou école éloignée. </w:t>
      </w:r>
    </w:p>
    <w:p w14:paraId="16F2A9E8" w14:textId="77777777" w:rsidR="000B3DD8" w:rsidRDefault="000B3DD8" w:rsidP="000B3DD8">
      <w:pPr>
        <w:pStyle w:val="Paragraphedeliste"/>
        <w:numPr>
          <w:ilvl w:val="0"/>
          <w:numId w:val="9"/>
        </w:numPr>
        <w:spacing w:after="0" w:line="240" w:lineRule="auto"/>
        <w:jc w:val="both"/>
        <w:rPr>
          <w:rFonts w:ascii="Arial Narrow" w:hAnsi="Arial Narrow"/>
          <w:sz w:val="24"/>
        </w:rPr>
      </w:pPr>
      <w:r w:rsidRPr="007603FE">
        <w:rPr>
          <w:rFonts w:ascii="Arial Narrow" w:hAnsi="Arial Narrow"/>
          <w:sz w:val="24"/>
        </w:rPr>
        <w:t xml:space="preserve">Dans cette enquête 75,1% des 1 463 personnes interrogées n’avaient pas entendu parler de la PCM.  </w:t>
      </w:r>
    </w:p>
    <w:p w14:paraId="766CE958" w14:textId="77777777" w:rsidR="000B3DD8" w:rsidRDefault="000B3DD8" w:rsidP="000B3DD8">
      <w:pPr>
        <w:pStyle w:val="Paragraphedeliste"/>
        <w:numPr>
          <w:ilvl w:val="0"/>
          <w:numId w:val="9"/>
        </w:numPr>
        <w:spacing w:after="0" w:line="240" w:lineRule="auto"/>
        <w:jc w:val="both"/>
        <w:rPr>
          <w:rFonts w:ascii="Arial Narrow" w:hAnsi="Arial Narrow"/>
          <w:sz w:val="24"/>
        </w:rPr>
      </w:pPr>
      <w:r w:rsidRPr="0007238E">
        <w:rPr>
          <w:rFonts w:ascii="Arial Narrow" w:hAnsi="Arial Narrow"/>
          <w:sz w:val="24"/>
        </w:rPr>
        <w:t>Sur les 365 personnes 26,6% ne savaient pas ce que faisait la PCM. Sur les 264 interrogés 111 (42%) ont appris ce que fait la PCM à la mosquée. Sur les 264 seuls 46 ont connu ce que fait la PCM lors de la maladie de son enfant et / ou la maladie d’un proche.</w:t>
      </w:r>
    </w:p>
    <w:p w14:paraId="4B40BA6C" w14:textId="77777777" w:rsidR="000B3DD8" w:rsidRDefault="000B3DD8" w:rsidP="000B3DD8">
      <w:pPr>
        <w:pStyle w:val="Paragraphedeliste"/>
        <w:numPr>
          <w:ilvl w:val="0"/>
          <w:numId w:val="9"/>
        </w:numPr>
        <w:spacing w:after="0" w:line="240" w:lineRule="auto"/>
        <w:jc w:val="both"/>
        <w:rPr>
          <w:rFonts w:ascii="Arial Narrow" w:hAnsi="Arial Narrow"/>
          <w:sz w:val="24"/>
        </w:rPr>
      </w:pPr>
      <w:r w:rsidRPr="00FD59D4">
        <w:rPr>
          <w:rFonts w:ascii="Arial Narrow" w:hAnsi="Arial Narrow"/>
          <w:sz w:val="24"/>
        </w:rPr>
        <w:t>Sur les 264</w:t>
      </w:r>
      <w:r>
        <w:rPr>
          <w:rFonts w:ascii="Arial Narrow" w:hAnsi="Arial Narrow"/>
          <w:sz w:val="24"/>
        </w:rPr>
        <w:t>,</w:t>
      </w:r>
      <w:r w:rsidRPr="00FD59D4">
        <w:rPr>
          <w:rFonts w:ascii="Arial Narrow" w:hAnsi="Arial Narrow"/>
          <w:sz w:val="24"/>
        </w:rPr>
        <w:t xml:space="preserve"> seuls 29 (11%) ont connu </w:t>
      </w:r>
      <w:r>
        <w:rPr>
          <w:rFonts w:ascii="Arial Narrow" w:hAnsi="Arial Narrow"/>
          <w:sz w:val="24"/>
        </w:rPr>
        <w:t xml:space="preserve">la PCM </w:t>
      </w:r>
      <w:r w:rsidRPr="00FD59D4">
        <w:rPr>
          <w:rFonts w:ascii="Arial Narrow" w:hAnsi="Arial Narrow"/>
          <w:sz w:val="24"/>
        </w:rPr>
        <w:t>par les médias (Radio/TV) alors 214 (81,1%) l’ont connu à travers des voisins, amis dans le quartier.</w:t>
      </w:r>
    </w:p>
    <w:p w14:paraId="0D3C98FB" w14:textId="77777777" w:rsidR="000B3DD8" w:rsidRDefault="000B3DD8" w:rsidP="000B3DD8">
      <w:pPr>
        <w:pStyle w:val="Paragraphedeliste"/>
        <w:numPr>
          <w:ilvl w:val="0"/>
          <w:numId w:val="9"/>
        </w:numPr>
        <w:spacing w:after="0" w:line="240" w:lineRule="auto"/>
        <w:jc w:val="both"/>
        <w:rPr>
          <w:rFonts w:ascii="Arial Narrow" w:hAnsi="Arial Narrow"/>
          <w:sz w:val="24"/>
        </w:rPr>
      </w:pPr>
      <w:r w:rsidRPr="00C50BF9">
        <w:rPr>
          <w:rFonts w:ascii="Arial Narrow" w:hAnsi="Arial Narrow"/>
          <w:sz w:val="24"/>
        </w:rPr>
        <w:t>Sur les 162 personnes interrogées 90,7% s’estiment satisfaites d</w:t>
      </w:r>
      <w:r>
        <w:rPr>
          <w:rFonts w:ascii="Arial Narrow" w:hAnsi="Arial Narrow"/>
          <w:sz w:val="24"/>
        </w:rPr>
        <w:t xml:space="preserve">es prestations de la PCM.  </w:t>
      </w:r>
    </w:p>
    <w:p w14:paraId="68C57D31" w14:textId="77777777" w:rsidR="000B3DD8" w:rsidRDefault="000B3DD8" w:rsidP="000B3DD8">
      <w:pPr>
        <w:pStyle w:val="Paragraphedeliste"/>
        <w:spacing w:after="0" w:line="240" w:lineRule="auto"/>
        <w:jc w:val="both"/>
        <w:rPr>
          <w:rFonts w:ascii="Arial Narrow" w:hAnsi="Arial Narrow"/>
          <w:sz w:val="24"/>
        </w:rPr>
      </w:pPr>
    </w:p>
    <w:p w14:paraId="7B60C0DA" w14:textId="77777777" w:rsidR="000B3DD8" w:rsidRDefault="000B3DD8" w:rsidP="000B3DD8">
      <w:pPr>
        <w:spacing w:after="0" w:line="240" w:lineRule="auto"/>
        <w:rPr>
          <w:rFonts w:ascii="Arial Narrow" w:hAnsi="Arial Narrow"/>
          <w:sz w:val="24"/>
        </w:rPr>
      </w:pPr>
      <w:r w:rsidRPr="00B15BC6">
        <w:rPr>
          <w:rFonts w:ascii="Arial Narrow" w:hAnsi="Arial Narrow"/>
          <w:sz w:val="24"/>
        </w:rPr>
        <w:t>La formation des prestataires de santé des structures privées e</w:t>
      </w:r>
      <w:r>
        <w:rPr>
          <w:rFonts w:ascii="Arial Narrow" w:hAnsi="Arial Narrow"/>
          <w:sz w:val="24"/>
        </w:rPr>
        <w:t>n soins obstétricaux et néonataux</w:t>
      </w:r>
      <w:r w:rsidRPr="00B15BC6">
        <w:rPr>
          <w:rFonts w:ascii="Arial Narrow" w:hAnsi="Arial Narrow"/>
          <w:sz w:val="24"/>
        </w:rPr>
        <w:t xml:space="preserve"> d’urgence (SONU) a </w:t>
      </w:r>
      <w:r>
        <w:rPr>
          <w:rFonts w:ascii="Arial Narrow" w:hAnsi="Arial Narrow"/>
          <w:sz w:val="24"/>
        </w:rPr>
        <w:t xml:space="preserve">portée sur </w:t>
      </w:r>
      <w:r w:rsidRPr="00B15BC6">
        <w:rPr>
          <w:rFonts w:ascii="Arial Narrow" w:hAnsi="Arial Narrow"/>
          <w:sz w:val="24"/>
        </w:rPr>
        <w:t>11 agents en provenance de 10 structures sanitaires privées se trouvant dans les environs de la Polyclinique</w:t>
      </w:r>
      <w:r>
        <w:rPr>
          <w:rFonts w:ascii="Arial Narrow" w:hAnsi="Arial Narrow"/>
          <w:sz w:val="24"/>
        </w:rPr>
        <w:t xml:space="preserve">. Elle a été réalisée avec l’appui des </w:t>
      </w:r>
      <w:r w:rsidRPr="00B15BC6">
        <w:rPr>
          <w:rFonts w:ascii="Arial Narrow" w:hAnsi="Arial Narrow"/>
          <w:sz w:val="24"/>
        </w:rPr>
        <w:t>formateurs en provenance de Dubréka</w:t>
      </w:r>
      <w:r>
        <w:rPr>
          <w:rFonts w:ascii="Arial Narrow" w:hAnsi="Arial Narrow"/>
          <w:sz w:val="24"/>
        </w:rPr>
        <w:t xml:space="preserve"> (</w:t>
      </w:r>
      <w:r w:rsidRPr="00B15BC6">
        <w:rPr>
          <w:rFonts w:ascii="Arial Narrow" w:hAnsi="Arial Narrow"/>
          <w:sz w:val="24"/>
        </w:rPr>
        <w:t>le directeur de l’hôpital et la sage-femme maitresse</w:t>
      </w:r>
      <w:r>
        <w:rPr>
          <w:rFonts w:ascii="Arial Narrow" w:hAnsi="Arial Narrow"/>
          <w:sz w:val="24"/>
        </w:rPr>
        <w:t>)</w:t>
      </w:r>
      <w:r w:rsidRPr="00B15BC6">
        <w:rPr>
          <w:rFonts w:ascii="Arial Narrow" w:hAnsi="Arial Narrow"/>
          <w:sz w:val="24"/>
        </w:rPr>
        <w:t xml:space="preserve">. Elle visait surtout à rehausser le niveau de ces agents </w:t>
      </w:r>
      <w:r w:rsidRPr="00B15BC6">
        <w:rPr>
          <w:rFonts w:ascii="Arial Narrow" w:hAnsi="Arial Narrow" w:cs="Arial"/>
          <w:sz w:val="24"/>
        </w:rPr>
        <w:t xml:space="preserve">soins </w:t>
      </w:r>
      <w:r w:rsidRPr="00B15BC6">
        <w:rPr>
          <w:rFonts w:ascii="Arial Narrow" w:hAnsi="Arial Narrow"/>
          <w:sz w:val="24"/>
        </w:rPr>
        <w:t>obstétricaux et néonatals d’urgence de base.</w:t>
      </w:r>
    </w:p>
    <w:p w14:paraId="49D3554B" w14:textId="77777777" w:rsidR="000B3DD8" w:rsidRPr="00E668C6" w:rsidRDefault="000B3DD8" w:rsidP="000B3DD8">
      <w:pPr>
        <w:pStyle w:val="Titre1"/>
        <w:numPr>
          <w:ilvl w:val="1"/>
          <w:numId w:val="6"/>
        </w:numPr>
      </w:pPr>
      <w:bookmarkStart w:id="39" w:name="_Toc411595604"/>
      <w:bookmarkStart w:id="40" w:name="_Toc49631557"/>
      <w:bookmarkStart w:id="41" w:name="_Toc49632192"/>
      <w:r w:rsidRPr="00E668C6">
        <w:t>Activités de suivi démographique et santé communautaire du Quartier Kirikilan</w:t>
      </w:r>
      <w:bookmarkEnd w:id="39"/>
      <w:bookmarkEnd w:id="40"/>
      <w:bookmarkEnd w:id="41"/>
    </w:p>
    <w:p w14:paraId="4B7BFFE1" w14:textId="77777777" w:rsidR="000B3DD8" w:rsidRDefault="000B3DD8" w:rsidP="000B3DD8">
      <w:pPr>
        <w:jc w:val="both"/>
        <w:rPr>
          <w:rFonts w:ascii="Arial Narrow" w:hAnsi="Arial Narrow" w:cs="Times New Roman"/>
        </w:rPr>
      </w:pPr>
      <w:r w:rsidRPr="009529D3">
        <w:rPr>
          <w:rFonts w:ascii="Arial Narrow" w:hAnsi="Arial Narrow" w:cs="Times New Roman"/>
        </w:rPr>
        <w:t xml:space="preserve">Les activités de </w:t>
      </w:r>
      <w:r>
        <w:rPr>
          <w:rFonts w:ascii="Arial Narrow" w:hAnsi="Arial Narrow" w:cs="Times New Roman"/>
        </w:rPr>
        <w:t xml:space="preserve">suivi démographique et </w:t>
      </w:r>
      <w:r w:rsidRPr="009529D3">
        <w:rPr>
          <w:rFonts w:ascii="Arial Narrow" w:hAnsi="Arial Narrow" w:cs="Times New Roman"/>
        </w:rPr>
        <w:t xml:space="preserve">mobilisation </w:t>
      </w:r>
      <w:r>
        <w:rPr>
          <w:rFonts w:ascii="Arial Narrow" w:hAnsi="Arial Narrow" w:cs="Times New Roman"/>
        </w:rPr>
        <w:t xml:space="preserve">sociale </w:t>
      </w:r>
      <w:r w:rsidRPr="009529D3">
        <w:rPr>
          <w:rFonts w:ascii="Arial Narrow" w:hAnsi="Arial Narrow" w:cs="Times New Roman"/>
        </w:rPr>
        <w:t xml:space="preserve">avaient pour principal objectif d’améliorer </w:t>
      </w:r>
      <w:r>
        <w:rPr>
          <w:rFonts w:ascii="Arial Narrow" w:hAnsi="Arial Narrow" w:cs="Times New Roman"/>
        </w:rPr>
        <w:t xml:space="preserve">l’offre et </w:t>
      </w:r>
      <w:r w:rsidRPr="009529D3">
        <w:rPr>
          <w:rFonts w:ascii="Arial Narrow" w:hAnsi="Arial Narrow" w:cs="Times New Roman"/>
        </w:rPr>
        <w:t xml:space="preserve">l’accessibilité aux soins et la prise en charge des femmes et des enfants vivant dans le quartier Kirikilan. </w:t>
      </w:r>
      <w:r>
        <w:rPr>
          <w:rFonts w:ascii="Arial Narrow" w:hAnsi="Arial Narrow" w:cs="Times New Roman"/>
        </w:rPr>
        <w:t>Sur la base de la liste des registres communautaires des populations cibles, et</w:t>
      </w:r>
      <w:r w:rsidRPr="009529D3">
        <w:rPr>
          <w:rFonts w:ascii="Arial Narrow" w:hAnsi="Arial Narrow" w:cs="Times New Roman"/>
        </w:rPr>
        <w:t xml:space="preserve"> de l’analyse situationnelle des ménages</w:t>
      </w:r>
      <w:r>
        <w:rPr>
          <w:rFonts w:ascii="Arial Narrow" w:hAnsi="Arial Narrow" w:cs="Times New Roman"/>
        </w:rPr>
        <w:t>,</w:t>
      </w:r>
      <w:r w:rsidRPr="009529D3">
        <w:rPr>
          <w:rFonts w:ascii="Arial Narrow" w:hAnsi="Arial Narrow" w:cs="Times New Roman"/>
        </w:rPr>
        <w:t xml:space="preserve"> les </w:t>
      </w:r>
      <w:r>
        <w:rPr>
          <w:rFonts w:ascii="Arial Narrow" w:hAnsi="Arial Narrow" w:cs="Times New Roman"/>
        </w:rPr>
        <w:t xml:space="preserve">relais communautaires </w:t>
      </w:r>
      <w:r w:rsidRPr="009529D3">
        <w:rPr>
          <w:rFonts w:ascii="Arial Narrow" w:hAnsi="Arial Narrow" w:cs="Times New Roman"/>
        </w:rPr>
        <w:t xml:space="preserve">mobilisateurs </w:t>
      </w:r>
      <w:r>
        <w:rPr>
          <w:rFonts w:ascii="Arial Narrow" w:hAnsi="Arial Narrow" w:cs="Times New Roman"/>
        </w:rPr>
        <w:t xml:space="preserve">(RECO) ont été </w:t>
      </w:r>
      <w:r w:rsidRPr="009529D3">
        <w:rPr>
          <w:rFonts w:ascii="Arial Narrow" w:hAnsi="Arial Narrow" w:cs="Times New Roman"/>
        </w:rPr>
        <w:t>recrutés</w:t>
      </w:r>
      <w:r>
        <w:rPr>
          <w:rFonts w:ascii="Arial Narrow" w:hAnsi="Arial Narrow" w:cs="Times New Roman"/>
        </w:rPr>
        <w:t xml:space="preserve"> et </w:t>
      </w:r>
      <w:r w:rsidRPr="009529D3">
        <w:rPr>
          <w:rFonts w:ascii="Arial Narrow" w:hAnsi="Arial Narrow" w:cs="Times New Roman"/>
        </w:rPr>
        <w:t>ont fait de la porte à porte dans tous les ménages du quartier Kirikilan</w:t>
      </w:r>
      <w:r>
        <w:rPr>
          <w:rFonts w:ascii="Arial Narrow" w:hAnsi="Arial Narrow" w:cs="Times New Roman"/>
        </w:rPr>
        <w:t xml:space="preserve">. </w:t>
      </w:r>
      <w:r w:rsidRPr="009529D3">
        <w:rPr>
          <w:rFonts w:ascii="Arial Narrow" w:hAnsi="Arial Narrow" w:cs="Times New Roman"/>
        </w:rPr>
        <w:t xml:space="preserve"> </w:t>
      </w:r>
    </w:p>
    <w:p w14:paraId="6F142836" w14:textId="77777777" w:rsidR="000B3DD8" w:rsidRDefault="000B3DD8" w:rsidP="000B3DD8">
      <w:pPr>
        <w:jc w:val="both"/>
        <w:rPr>
          <w:rFonts w:ascii="Arial Narrow" w:hAnsi="Arial Narrow" w:cs="Times New Roman"/>
        </w:rPr>
      </w:pPr>
    </w:p>
    <w:p w14:paraId="735798C6" w14:textId="77777777" w:rsidR="000B3DD8" w:rsidRDefault="000B3DD8" w:rsidP="000B3DD8">
      <w:pPr>
        <w:jc w:val="both"/>
        <w:rPr>
          <w:rFonts w:ascii="Arial Narrow" w:hAnsi="Arial Narrow" w:cs="Times New Roman"/>
        </w:rPr>
      </w:pPr>
    </w:p>
    <w:p w14:paraId="028CD932" w14:textId="77777777" w:rsidR="000B3DD8" w:rsidRDefault="000B3DD8" w:rsidP="000B3DD8">
      <w:pPr>
        <w:jc w:val="both"/>
        <w:rPr>
          <w:rFonts w:ascii="Arial Narrow" w:hAnsi="Arial Narrow" w:cs="Times New Roman"/>
        </w:rPr>
      </w:pPr>
    </w:p>
    <w:p w14:paraId="707510FA" w14:textId="77777777" w:rsidR="000B3DD8" w:rsidRDefault="000B3DD8" w:rsidP="000B3DD8">
      <w:pPr>
        <w:jc w:val="both"/>
        <w:rPr>
          <w:rFonts w:ascii="Arial Narrow" w:hAnsi="Arial Narrow" w:cs="Times New Roman"/>
        </w:rPr>
      </w:pPr>
    </w:p>
    <w:p w14:paraId="56194168" w14:textId="77777777" w:rsidR="000B3DD8" w:rsidRDefault="000B3DD8" w:rsidP="000B3DD8">
      <w:pPr>
        <w:jc w:val="both"/>
        <w:rPr>
          <w:rFonts w:ascii="Arial Narrow" w:hAnsi="Arial Narrow" w:cs="Times New Roman"/>
        </w:rPr>
      </w:pPr>
    </w:p>
    <w:p w14:paraId="21EF03A2" w14:textId="77777777" w:rsidR="000B3DD8" w:rsidRDefault="000B3DD8" w:rsidP="000B3DD8">
      <w:pPr>
        <w:rPr>
          <w:rFonts w:ascii="Arial Narrow" w:hAnsi="Arial Narrow" w:cs="Times New Roman"/>
        </w:rPr>
      </w:pPr>
      <w:r w:rsidRPr="001139C5">
        <w:rPr>
          <w:rFonts w:ascii="Arial Narrow" w:hAnsi="Arial Narrow" w:cs="Times New Roman"/>
          <w:b/>
          <w:bCs/>
        </w:rPr>
        <w:lastRenderedPageBreak/>
        <w:t>Tableau</w:t>
      </w:r>
      <w:r>
        <w:rPr>
          <w:rFonts w:ascii="Arial Narrow" w:hAnsi="Arial Narrow" w:cs="Times New Roman"/>
          <w:b/>
          <w:bCs/>
        </w:rPr>
        <w:t xml:space="preserve"> No 1</w:t>
      </w:r>
      <w:r w:rsidRPr="001139C5">
        <w:rPr>
          <w:rFonts w:ascii="Arial Narrow" w:hAnsi="Arial Narrow" w:cs="Times New Roman"/>
          <w:b/>
          <w:bCs/>
        </w:rPr>
        <w:t> :</w:t>
      </w:r>
      <w:r w:rsidRPr="00D22FB5">
        <w:rPr>
          <w:rFonts w:ascii="Arial Narrow" w:hAnsi="Arial Narrow" w:cs="Times New Roman"/>
        </w:rPr>
        <w:t xml:space="preserve"> </w:t>
      </w:r>
      <w:r>
        <w:rPr>
          <w:rFonts w:ascii="Arial Narrow" w:hAnsi="Arial Narrow" w:cs="Times New Roman"/>
        </w:rPr>
        <w:t xml:space="preserve">Suivi </w:t>
      </w:r>
      <w:r w:rsidRPr="00D22FB5">
        <w:rPr>
          <w:rFonts w:ascii="Arial Narrow" w:hAnsi="Arial Narrow" w:cs="Times New Roman"/>
        </w:rPr>
        <w:t xml:space="preserve">démographique </w:t>
      </w:r>
      <w:r>
        <w:rPr>
          <w:rFonts w:ascii="Arial Narrow" w:hAnsi="Arial Narrow" w:cs="Times New Roman"/>
        </w:rPr>
        <w:t>par dénombrement (</w:t>
      </w:r>
      <w:r w:rsidRPr="00D22FB5">
        <w:rPr>
          <w:rFonts w:ascii="Arial Narrow" w:hAnsi="Arial Narrow" w:cs="Times New Roman"/>
        </w:rPr>
        <w:t>Octobre 2017 –</w:t>
      </w:r>
      <w:r>
        <w:rPr>
          <w:rFonts w:ascii="Arial Narrow" w:hAnsi="Arial Narrow" w:cs="Times New Roman"/>
        </w:rPr>
        <w:t xml:space="preserve"> Novembre</w:t>
      </w:r>
      <w:r w:rsidRPr="00D22FB5">
        <w:rPr>
          <w:rFonts w:ascii="Arial Narrow" w:hAnsi="Arial Narrow" w:cs="Times New Roman"/>
        </w:rPr>
        <w:t xml:space="preserve"> 2018</w:t>
      </w:r>
      <w:r>
        <w:rPr>
          <w:rFonts w:ascii="Arial Narrow" w:hAnsi="Arial Narrow" w:cs="Times New Roman"/>
        </w:rPr>
        <w:t xml:space="preserve">)  </w:t>
      </w:r>
    </w:p>
    <w:tbl>
      <w:tblPr>
        <w:tblW w:w="9493" w:type="dxa"/>
        <w:jc w:val="center"/>
        <w:tblCellMar>
          <w:left w:w="70" w:type="dxa"/>
          <w:right w:w="70" w:type="dxa"/>
        </w:tblCellMar>
        <w:tblLook w:val="04A0" w:firstRow="1" w:lastRow="0" w:firstColumn="1" w:lastColumn="0" w:noHBand="0" w:noVBand="1"/>
      </w:tblPr>
      <w:tblGrid>
        <w:gridCol w:w="1129"/>
        <w:gridCol w:w="993"/>
        <w:gridCol w:w="708"/>
        <w:gridCol w:w="993"/>
        <w:gridCol w:w="850"/>
        <w:gridCol w:w="851"/>
        <w:gridCol w:w="850"/>
        <w:gridCol w:w="851"/>
        <w:gridCol w:w="708"/>
        <w:gridCol w:w="851"/>
        <w:gridCol w:w="709"/>
      </w:tblGrid>
      <w:tr w:rsidR="000B3DD8" w:rsidRPr="00713EC6" w14:paraId="7E9838AC" w14:textId="77777777" w:rsidTr="00A51E14">
        <w:trPr>
          <w:trHeight w:val="32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B10F3" w14:textId="77777777" w:rsidR="000B3DD8" w:rsidRPr="00713EC6" w:rsidRDefault="000B3DD8" w:rsidP="00A51E14">
            <w:pPr>
              <w:spacing w:after="0" w:line="240" w:lineRule="auto"/>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635D5" w14:textId="77777777" w:rsidR="000B3DD8" w:rsidRPr="00713EC6" w:rsidRDefault="000B3DD8" w:rsidP="00A51E14">
            <w:pPr>
              <w:spacing w:after="0" w:line="240" w:lineRule="auto"/>
              <w:jc w:val="center"/>
              <w:rPr>
                <w:rFonts w:ascii="Calibri" w:eastAsia="Times New Roman" w:hAnsi="Calibri" w:cs="Calibri"/>
                <w:b/>
                <w:bCs/>
                <w:color w:val="000000"/>
                <w:sz w:val="21"/>
                <w:szCs w:val="21"/>
                <w:lang w:eastAsia="fr-FR"/>
              </w:rPr>
            </w:pPr>
            <w:r w:rsidRPr="00713EC6">
              <w:rPr>
                <w:rFonts w:ascii="Calibri" w:eastAsia="Times New Roman" w:hAnsi="Calibri" w:cs="Calibri"/>
                <w:b/>
                <w:bCs/>
                <w:color w:val="000000"/>
                <w:sz w:val="21"/>
                <w:szCs w:val="21"/>
                <w:lang w:eastAsia="fr-FR"/>
              </w:rPr>
              <w:t>Concession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C1A60" w14:textId="77777777" w:rsidR="000B3DD8" w:rsidRPr="00713EC6" w:rsidRDefault="000B3DD8" w:rsidP="00A51E14">
            <w:pPr>
              <w:spacing w:after="0" w:line="240" w:lineRule="auto"/>
              <w:jc w:val="center"/>
              <w:rPr>
                <w:rFonts w:ascii="Calibri" w:eastAsia="Times New Roman" w:hAnsi="Calibri" w:cs="Calibri"/>
                <w:b/>
                <w:bCs/>
                <w:color w:val="000000"/>
                <w:sz w:val="21"/>
                <w:szCs w:val="21"/>
                <w:lang w:eastAsia="fr-FR"/>
              </w:rPr>
            </w:pPr>
            <w:proofErr w:type="spellStart"/>
            <w:r w:rsidRPr="00713EC6">
              <w:rPr>
                <w:rFonts w:ascii="Calibri" w:eastAsia="Times New Roman" w:hAnsi="Calibri" w:cs="Calibri"/>
                <w:b/>
                <w:bCs/>
                <w:color w:val="000000"/>
                <w:sz w:val="21"/>
                <w:szCs w:val="21"/>
                <w:lang w:eastAsia="fr-FR"/>
              </w:rPr>
              <w:t>Menage</w:t>
            </w:r>
            <w:proofErr w:type="spellEnd"/>
            <w:r w:rsidRPr="00713EC6">
              <w:rPr>
                <w:rFonts w:ascii="Calibri" w:eastAsia="Times New Roman" w:hAnsi="Calibri" w:cs="Calibri"/>
                <w:b/>
                <w:bCs/>
                <w:color w:val="000000"/>
                <w:sz w:val="21"/>
                <w:szCs w:val="21"/>
                <w:lang w:eastAsia="fr-FR"/>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CA13A" w14:textId="77777777" w:rsidR="000B3DD8" w:rsidRPr="00713EC6" w:rsidRDefault="000B3DD8" w:rsidP="00A51E14">
            <w:pPr>
              <w:spacing w:after="0" w:line="240" w:lineRule="auto"/>
              <w:jc w:val="center"/>
              <w:rPr>
                <w:rFonts w:ascii="Calibri" w:eastAsia="Times New Roman" w:hAnsi="Calibri" w:cs="Calibri"/>
                <w:b/>
                <w:bCs/>
                <w:color w:val="000000"/>
                <w:sz w:val="21"/>
                <w:szCs w:val="21"/>
                <w:lang w:eastAsia="fr-FR"/>
              </w:rPr>
            </w:pPr>
            <w:r w:rsidRPr="00713EC6">
              <w:rPr>
                <w:rFonts w:ascii="Calibri" w:eastAsia="Times New Roman" w:hAnsi="Calibri" w:cs="Calibri"/>
                <w:b/>
                <w:bCs/>
                <w:color w:val="000000"/>
                <w:sz w:val="21"/>
                <w:szCs w:val="21"/>
                <w:lang w:eastAsia="fr-FR"/>
              </w:rPr>
              <w:t>Population Totale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20B6E" w14:textId="77777777" w:rsidR="000B3DD8" w:rsidRPr="00713EC6" w:rsidRDefault="000B3DD8" w:rsidP="00A51E14">
            <w:pPr>
              <w:spacing w:after="0" w:line="240" w:lineRule="auto"/>
              <w:jc w:val="center"/>
              <w:rPr>
                <w:rFonts w:ascii="Calibri" w:eastAsia="Times New Roman" w:hAnsi="Calibri" w:cs="Calibri"/>
                <w:b/>
                <w:bCs/>
                <w:color w:val="000000"/>
                <w:sz w:val="21"/>
                <w:szCs w:val="21"/>
                <w:lang w:eastAsia="fr-FR"/>
              </w:rPr>
            </w:pPr>
            <w:r w:rsidRPr="00713EC6">
              <w:rPr>
                <w:rFonts w:ascii="Calibri" w:eastAsia="Times New Roman" w:hAnsi="Calibri" w:cs="Calibri"/>
                <w:b/>
                <w:bCs/>
                <w:color w:val="000000"/>
                <w:sz w:val="21"/>
                <w:szCs w:val="21"/>
                <w:lang w:eastAsia="fr-FR"/>
              </w:rPr>
              <w:t>Population Cible FAP</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D613D" w14:textId="77777777" w:rsidR="000B3DD8" w:rsidRPr="00713EC6" w:rsidRDefault="000B3DD8" w:rsidP="00A51E14">
            <w:pPr>
              <w:spacing w:after="0" w:line="240" w:lineRule="auto"/>
              <w:jc w:val="center"/>
              <w:rPr>
                <w:rFonts w:ascii="Calibri" w:eastAsia="Times New Roman" w:hAnsi="Calibri" w:cs="Calibri"/>
                <w:b/>
                <w:bCs/>
                <w:color w:val="000000"/>
                <w:sz w:val="21"/>
                <w:szCs w:val="21"/>
                <w:lang w:eastAsia="fr-FR"/>
              </w:rPr>
            </w:pPr>
            <w:r w:rsidRPr="00713EC6">
              <w:rPr>
                <w:rFonts w:ascii="Calibri" w:eastAsia="Times New Roman" w:hAnsi="Calibri" w:cs="Calibri"/>
                <w:b/>
                <w:bCs/>
                <w:color w:val="000000"/>
                <w:sz w:val="21"/>
                <w:szCs w:val="21"/>
                <w:lang w:eastAsia="fr-FR"/>
              </w:rPr>
              <w:t xml:space="preserve">Enfants moins de 5ans </w:t>
            </w:r>
          </w:p>
        </w:tc>
      </w:tr>
      <w:tr w:rsidR="000B3DD8" w:rsidRPr="00713EC6" w14:paraId="498B9978" w14:textId="77777777" w:rsidTr="00A51E14">
        <w:trPr>
          <w:trHeight w:val="32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0C324AF" w14:textId="77777777" w:rsidR="000B3DD8" w:rsidRPr="00713EC6" w:rsidRDefault="000B3DD8" w:rsidP="00A51E14">
            <w:pPr>
              <w:spacing w:after="0" w:line="240" w:lineRule="auto"/>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 xml:space="preserve"> </w:t>
            </w:r>
          </w:p>
        </w:tc>
        <w:tc>
          <w:tcPr>
            <w:tcW w:w="993" w:type="dxa"/>
            <w:tcBorders>
              <w:top w:val="nil"/>
              <w:left w:val="nil"/>
              <w:bottom w:val="single" w:sz="4" w:space="0" w:color="auto"/>
              <w:right w:val="single" w:sz="4" w:space="0" w:color="auto"/>
            </w:tcBorders>
            <w:shd w:val="clear" w:color="000000" w:fill="FDE9D9"/>
            <w:noWrap/>
            <w:vAlign w:val="bottom"/>
            <w:hideMark/>
          </w:tcPr>
          <w:p w14:paraId="49630D57" w14:textId="77777777" w:rsidR="000B3DD8" w:rsidRPr="00713EC6" w:rsidRDefault="000B3DD8" w:rsidP="00A51E14">
            <w:pPr>
              <w:spacing w:after="0" w:line="240" w:lineRule="auto"/>
              <w:rPr>
                <w:rFonts w:ascii="Calibri" w:eastAsia="Times New Roman" w:hAnsi="Calibri" w:cs="Calibri"/>
                <w:color w:val="000000"/>
                <w:sz w:val="21"/>
                <w:szCs w:val="21"/>
                <w:lang w:eastAsia="fr-FR"/>
              </w:rPr>
            </w:pPr>
            <w:proofErr w:type="spellStart"/>
            <w:r w:rsidRPr="00713EC6">
              <w:rPr>
                <w:rFonts w:ascii="Calibri" w:eastAsia="Times New Roman" w:hAnsi="Calibri" w:cs="Calibri"/>
                <w:color w:val="000000"/>
                <w:sz w:val="21"/>
                <w:szCs w:val="21"/>
                <w:lang w:eastAsia="fr-FR"/>
              </w:rPr>
              <w:t>Nov</w:t>
            </w:r>
            <w:proofErr w:type="spellEnd"/>
            <w:r w:rsidRPr="00713EC6">
              <w:rPr>
                <w:rFonts w:ascii="Calibri" w:eastAsia="Times New Roman" w:hAnsi="Calibri" w:cs="Calibri"/>
                <w:color w:val="000000"/>
                <w:sz w:val="21"/>
                <w:szCs w:val="21"/>
                <w:lang w:eastAsia="fr-FR"/>
              </w:rPr>
              <w:t xml:space="preserve"> 18</w:t>
            </w:r>
          </w:p>
        </w:tc>
        <w:tc>
          <w:tcPr>
            <w:tcW w:w="708" w:type="dxa"/>
            <w:tcBorders>
              <w:top w:val="nil"/>
              <w:left w:val="nil"/>
              <w:bottom w:val="single" w:sz="4" w:space="0" w:color="auto"/>
              <w:right w:val="single" w:sz="4" w:space="0" w:color="auto"/>
            </w:tcBorders>
            <w:shd w:val="clear" w:color="auto" w:fill="auto"/>
            <w:noWrap/>
            <w:vAlign w:val="bottom"/>
            <w:hideMark/>
          </w:tcPr>
          <w:p w14:paraId="78038C2F" w14:textId="77777777" w:rsidR="000B3DD8" w:rsidRPr="00713EC6" w:rsidRDefault="000B3DD8" w:rsidP="00A51E14">
            <w:pPr>
              <w:spacing w:after="0" w:line="240" w:lineRule="auto"/>
              <w:rPr>
                <w:rFonts w:ascii="Calibri" w:eastAsia="Times New Roman" w:hAnsi="Calibri" w:cs="Calibri"/>
                <w:color w:val="000000"/>
                <w:sz w:val="21"/>
                <w:szCs w:val="21"/>
                <w:lang w:eastAsia="fr-FR"/>
              </w:rPr>
            </w:pPr>
            <w:proofErr w:type="spellStart"/>
            <w:r w:rsidRPr="00713EC6">
              <w:rPr>
                <w:rFonts w:ascii="Calibri" w:eastAsia="Times New Roman" w:hAnsi="Calibri" w:cs="Calibri"/>
                <w:color w:val="000000"/>
                <w:sz w:val="21"/>
                <w:szCs w:val="21"/>
                <w:lang w:eastAsia="fr-FR"/>
              </w:rPr>
              <w:t>Oct</w:t>
            </w:r>
            <w:proofErr w:type="spellEnd"/>
            <w:r w:rsidRPr="00713EC6">
              <w:rPr>
                <w:rFonts w:ascii="Calibri" w:eastAsia="Times New Roman" w:hAnsi="Calibri" w:cs="Calibri"/>
                <w:color w:val="000000"/>
                <w:sz w:val="21"/>
                <w:szCs w:val="21"/>
                <w:lang w:eastAsia="fr-FR"/>
              </w:rPr>
              <w:t xml:space="preserve"> 17</w:t>
            </w:r>
          </w:p>
        </w:tc>
        <w:tc>
          <w:tcPr>
            <w:tcW w:w="993" w:type="dxa"/>
            <w:tcBorders>
              <w:top w:val="nil"/>
              <w:left w:val="nil"/>
              <w:bottom w:val="single" w:sz="4" w:space="0" w:color="auto"/>
              <w:right w:val="single" w:sz="4" w:space="0" w:color="auto"/>
            </w:tcBorders>
            <w:shd w:val="clear" w:color="000000" w:fill="FDE9D9"/>
            <w:noWrap/>
            <w:vAlign w:val="bottom"/>
            <w:hideMark/>
          </w:tcPr>
          <w:p w14:paraId="3B25CF26" w14:textId="77777777" w:rsidR="000B3DD8" w:rsidRPr="00713EC6" w:rsidRDefault="000B3DD8" w:rsidP="00A51E14">
            <w:pPr>
              <w:spacing w:after="0" w:line="240" w:lineRule="auto"/>
              <w:rPr>
                <w:rFonts w:ascii="Calibri" w:eastAsia="Times New Roman" w:hAnsi="Calibri" w:cs="Calibri"/>
                <w:color w:val="000000"/>
                <w:sz w:val="21"/>
                <w:szCs w:val="21"/>
                <w:lang w:eastAsia="fr-FR"/>
              </w:rPr>
            </w:pPr>
            <w:proofErr w:type="spellStart"/>
            <w:r w:rsidRPr="00713EC6">
              <w:rPr>
                <w:rFonts w:ascii="Calibri" w:eastAsia="Times New Roman" w:hAnsi="Calibri" w:cs="Calibri"/>
                <w:color w:val="000000"/>
                <w:sz w:val="21"/>
                <w:szCs w:val="21"/>
                <w:lang w:eastAsia="fr-FR"/>
              </w:rPr>
              <w:t>Nov</w:t>
            </w:r>
            <w:proofErr w:type="spellEnd"/>
            <w:r w:rsidRPr="00713EC6">
              <w:rPr>
                <w:rFonts w:ascii="Calibri" w:eastAsia="Times New Roman" w:hAnsi="Calibri" w:cs="Calibri"/>
                <w:color w:val="000000"/>
                <w:sz w:val="21"/>
                <w:szCs w:val="21"/>
                <w:lang w:eastAsia="fr-FR"/>
              </w:rPr>
              <w:t xml:space="preserve"> 18</w:t>
            </w:r>
          </w:p>
        </w:tc>
        <w:tc>
          <w:tcPr>
            <w:tcW w:w="850" w:type="dxa"/>
            <w:tcBorders>
              <w:top w:val="nil"/>
              <w:left w:val="nil"/>
              <w:bottom w:val="single" w:sz="4" w:space="0" w:color="auto"/>
              <w:right w:val="single" w:sz="4" w:space="0" w:color="auto"/>
            </w:tcBorders>
            <w:shd w:val="clear" w:color="auto" w:fill="auto"/>
            <w:noWrap/>
            <w:vAlign w:val="bottom"/>
            <w:hideMark/>
          </w:tcPr>
          <w:p w14:paraId="3488CA2F" w14:textId="77777777" w:rsidR="000B3DD8" w:rsidRPr="00713EC6" w:rsidRDefault="000B3DD8" w:rsidP="00A51E14">
            <w:pPr>
              <w:spacing w:after="0" w:line="240" w:lineRule="auto"/>
              <w:rPr>
                <w:rFonts w:ascii="Calibri" w:eastAsia="Times New Roman" w:hAnsi="Calibri" w:cs="Calibri"/>
                <w:color w:val="000000"/>
                <w:sz w:val="21"/>
                <w:szCs w:val="21"/>
                <w:lang w:eastAsia="fr-FR"/>
              </w:rPr>
            </w:pPr>
            <w:proofErr w:type="spellStart"/>
            <w:r w:rsidRPr="00713EC6">
              <w:rPr>
                <w:rFonts w:ascii="Calibri" w:eastAsia="Times New Roman" w:hAnsi="Calibri" w:cs="Calibri"/>
                <w:color w:val="000000"/>
                <w:sz w:val="21"/>
                <w:szCs w:val="21"/>
                <w:lang w:eastAsia="fr-FR"/>
              </w:rPr>
              <w:t>Oct</w:t>
            </w:r>
            <w:proofErr w:type="spellEnd"/>
            <w:r w:rsidRPr="00713EC6">
              <w:rPr>
                <w:rFonts w:ascii="Calibri" w:eastAsia="Times New Roman" w:hAnsi="Calibri" w:cs="Calibri"/>
                <w:color w:val="000000"/>
                <w:sz w:val="21"/>
                <w:szCs w:val="21"/>
                <w:lang w:eastAsia="fr-FR"/>
              </w:rPr>
              <w:t xml:space="preserve"> 17</w:t>
            </w:r>
          </w:p>
        </w:tc>
        <w:tc>
          <w:tcPr>
            <w:tcW w:w="851" w:type="dxa"/>
            <w:tcBorders>
              <w:top w:val="nil"/>
              <w:left w:val="nil"/>
              <w:bottom w:val="single" w:sz="4" w:space="0" w:color="auto"/>
              <w:right w:val="single" w:sz="4" w:space="0" w:color="auto"/>
            </w:tcBorders>
            <w:shd w:val="clear" w:color="000000" w:fill="FDE9D9"/>
            <w:noWrap/>
            <w:vAlign w:val="bottom"/>
            <w:hideMark/>
          </w:tcPr>
          <w:p w14:paraId="7EC13DB2" w14:textId="77777777" w:rsidR="000B3DD8" w:rsidRPr="00713EC6" w:rsidRDefault="000B3DD8" w:rsidP="00A51E14">
            <w:pPr>
              <w:spacing w:after="0" w:line="240" w:lineRule="auto"/>
              <w:rPr>
                <w:rFonts w:ascii="Calibri" w:eastAsia="Times New Roman" w:hAnsi="Calibri" w:cs="Calibri"/>
                <w:color w:val="000000"/>
                <w:sz w:val="21"/>
                <w:szCs w:val="21"/>
                <w:lang w:eastAsia="fr-FR"/>
              </w:rPr>
            </w:pPr>
            <w:proofErr w:type="spellStart"/>
            <w:r w:rsidRPr="00713EC6">
              <w:rPr>
                <w:rFonts w:ascii="Calibri" w:eastAsia="Times New Roman" w:hAnsi="Calibri" w:cs="Calibri"/>
                <w:color w:val="000000"/>
                <w:sz w:val="21"/>
                <w:szCs w:val="21"/>
                <w:lang w:eastAsia="fr-FR"/>
              </w:rPr>
              <w:t>Nov</w:t>
            </w:r>
            <w:proofErr w:type="spellEnd"/>
            <w:r w:rsidRPr="00713EC6">
              <w:rPr>
                <w:rFonts w:ascii="Calibri" w:eastAsia="Times New Roman" w:hAnsi="Calibri" w:cs="Calibri"/>
                <w:color w:val="000000"/>
                <w:sz w:val="21"/>
                <w:szCs w:val="21"/>
                <w:lang w:eastAsia="fr-FR"/>
              </w:rPr>
              <w:t xml:space="preserve"> 18</w:t>
            </w:r>
          </w:p>
        </w:tc>
        <w:tc>
          <w:tcPr>
            <w:tcW w:w="850" w:type="dxa"/>
            <w:tcBorders>
              <w:top w:val="nil"/>
              <w:left w:val="nil"/>
              <w:bottom w:val="single" w:sz="4" w:space="0" w:color="auto"/>
              <w:right w:val="single" w:sz="4" w:space="0" w:color="auto"/>
            </w:tcBorders>
            <w:shd w:val="clear" w:color="auto" w:fill="auto"/>
            <w:noWrap/>
            <w:vAlign w:val="bottom"/>
            <w:hideMark/>
          </w:tcPr>
          <w:p w14:paraId="5668C096" w14:textId="77777777" w:rsidR="000B3DD8" w:rsidRPr="00713EC6" w:rsidRDefault="000B3DD8" w:rsidP="00A51E14">
            <w:pPr>
              <w:spacing w:after="0" w:line="240" w:lineRule="auto"/>
              <w:rPr>
                <w:rFonts w:ascii="Calibri" w:eastAsia="Times New Roman" w:hAnsi="Calibri" w:cs="Calibri"/>
                <w:color w:val="000000"/>
                <w:sz w:val="21"/>
                <w:szCs w:val="21"/>
                <w:lang w:eastAsia="fr-FR"/>
              </w:rPr>
            </w:pPr>
            <w:proofErr w:type="spellStart"/>
            <w:r w:rsidRPr="00713EC6">
              <w:rPr>
                <w:rFonts w:ascii="Calibri" w:eastAsia="Times New Roman" w:hAnsi="Calibri" w:cs="Calibri"/>
                <w:color w:val="000000"/>
                <w:sz w:val="21"/>
                <w:szCs w:val="21"/>
                <w:lang w:eastAsia="fr-FR"/>
              </w:rPr>
              <w:t>Oct</w:t>
            </w:r>
            <w:proofErr w:type="spellEnd"/>
            <w:r w:rsidRPr="00713EC6">
              <w:rPr>
                <w:rFonts w:ascii="Calibri" w:eastAsia="Times New Roman" w:hAnsi="Calibri" w:cs="Calibri"/>
                <w:color w:val="000000"/>
                <w:sz w:val="21"/>
                <w:szCs w:val="21"/>
                <w:lang w:eastAsia="fr-FR"/>
              </w:rPr>
              <w:t xml:space="preserve"> 17</w:t>
            </w:r>
          </w:p>
        </w:tc>
        <w:tc>
          <w:tcPr>
            <w:tcW w:w="851" w:type="dxa"/>
            <w:tcBorders>
              <w:top w:val="nil"/>
              <w:left w:val="nil"/>
              <w:bottom w:val="single" w:sz="4" w:space="0" w:color="auto"/>
              <w:right w:val="single" w:sz="4" w:space="0" w:color="auto"/>
            </w:tcBorders>
            <w:shd w:val="clear" w:color="000000" w:fill="FDE9D9"/>
            <w:noWrap/>
            <w:vAlign w:val="bottom"/>
            <w:hideMark/>
          </w:tcPr>
          <w:p w14:paraId="0BB11C21" w14:textId="77777777" w:rsidR="000B3DD8" w:rsidRPr="00713EC6" w:rsidRDefault="000B3DD8" w:rsidP="00A51E14">
            <w:pPr>
              <w:spacing w:after="0" w:line="240" w:lineRule="auto"/>
              <w:rPr>
                <w:rFonts w:ascii="Calibri" w:eastAsia="Times New Roman" w:hAnsi="Calibri" w:cs="Calibri"/>
                <w:color w:val="000000"/>
                <w:sz w:val="21"/>
                <w:szCs w:val="21"/>
                <w:lang w:eastAsia="fr-FR"/>
              </w:rPr>
            </w:pPr>
            <w:proofErr w:type="spellStart"/>
            <w:r w:rsidRPr="00713EC6">
              <w:rPr>
                <w:rFonts w:ascii="Calibri" w:eastAsia="Times New Roman" w:hAnsi="Calibri" w:cs="Calibri"/>
                <w:color w:val="000000"/>
                <w:sz w:val="21"/>
                <w:szCs w:val="21"/>
                <w:lang w:eastAsia="fr-FR"/>
              </w:rPr>
              <w:t>Nov</w:t>
            </w:r>
            <w:proofErr w:type="spellEnd"/>
            <w:r w:rsidRPr="00713EC6">
              <w:rPr>
                <w:rFonts w:ascii="Calibri" w:eastAsia="Times New Roman" w:hAnsi="Calibri" w:cs="Calibri"/>
                <w:color w:val="000000"/>
                <w:sz w:val="21"/>
                <w:szCs w:val="21"/>
                <w:lang w:eastAsia="fr-FR"/>
              </w:rPr>
              <w:t xml:space="preserve"> 18</w:t>
            </w:r>
          </w:p>
        </w:tc>
        <w:tc>
          <w:tcPr>
            <w:tcW w:w="708" w:type="dxa"/>
            <w:tcBorders>
              <w:top w:val="nil"/>
              <w:left w:val="nil"/>
              <w:bottom w:val="single" w:sz="4" w:space="0" w:color="auto"/>
              <w:right w:val="single" w:sz="4" w:space="0" w:color="auto"/>
            </w:tcBorders>
            <w:shd w:val="clear" w:color="auto" w:fill="auto"/>
            <w:noWrap/>
            <w:vAlign w:val="bottom"/>
            <w:hideMark/>
          </w:tcPr>
          <w:p w14:paraId="2490C51A" w14:textId="77777777" w:rsidR="000B3DD8" w:rsidRPr="00713EC6" w:rsidRDefault="000B3DD8" w:rsidP="00A51E14">
            <w:pPr>
              <w:spacing w:after="0" w:line="240" w:lineRule="auto"/>
              <w:rPr>
                <w:rFonts w:ascii="Calibri" w:eastAsia="Times New Roman" w:hAnsi="Calibri" w:cs="Calibri"/>
                <w:color w:val="000000"/>
                <w:sz w:val="21"/>
                <w:szCs w:val="21"/>
                <w:lang w:eastAsia="fr-FR"/>
              </w:rPr>
            </w:pPr>
            <w:proofErr w:type="spellStart"/>
            <w:r w:rsidRPr="00713EC6">
              <w:rPr>
                <w:rFonts w:ascii="Calibri" w:eastAsia="Times New Roman" w:hAnsi="Calibri" w:cs="Calibri"/>
                <w:color w:val="000000"/>
                <w:sz w:val="21"/>
                <w:szCs w:val="21"/>
                <w:lang w:eastAsia="fr-FR"/>
              </w:rPr>
              <w:t>Oct</w:t>
            </w:r>
            <w:proofErr w:type="spellEnd"/>
            <w:r w:rsidRPr="00713EC6">
              <w:rPr>
                <w:rFonts w:ascii="Calibri" w:eastAsia="Times New Roman" w:hAnsi="Calibri" w:cs="Calibri"/>
                <w:color w:val="000000"/>
                <w:sz w:val="21"/>
                <w:szCs w:val="21"/>
                <w:lang w:eastAsia="fr-FR"/>
              </w:rPr>
              <w:t xml:space="preserve"> 17</w:t>
            </w:r>
          </w:p>
        </w:tc>
        <w:tc>
          <w:tcPr>
            <w:tcW w:w="851" w:type="dxa"/>
            <w:tcBorders>
              <w:top w:val="nil"/>
              <w:left w:val="nil"/>
              <w:bottom w:val="single" w:sz="4" w:space="0" w:color="auto"/>
              <w:right w:val="single" w:sz="4" w:space="0" w:color="auto"/>
            </w:tcBorders>
            <w:shd w:val="clear" w:color="000000" w:fill="FDE9D9"/>
            <w:noWrap/>
            <w:vAlign w:val="bottom"/>
            <w:hideMark/>
          </w:tcPr>
          <w:p w14:paraId="60E6493D" w14:textId="77777777" w:rsidR="000B3DD8" w:rsidRPr="00713EC6" w:rsidRDefault="000B3DD8" w:rsidP="00A51E14">
            <w:pPr>
              <w:spacing w:after="0" w:line="240" w:lineRule="auto"/>
              <w:rPr>
                <w:rFonts w:ascii="Calibri" w:eastAsia="Times New Roman" w:hAnsi="Calibri" w:cs="Calibri"/>
                <w:color w:val="000000"/>
                <w:sz w:val="21"/>
                <w:szCs w:val="21"/>
                <w:lang w:eastAsia="fr-FR"/>
              </w:rPr>
            </w:pPr>
            <w:proofErr w:type="spellStart"/>
            <w:r w:rsidRPr="00713EC6">
              <w:rPr>
                <w:rFonts w:ascii="Calibri" w:eastAsia="Times New Roman" w:hAnsi="Calibri" w:cs="Calibri"/>
                <w:color w:val="000000"/>
                <w:sz w:val="21"/>
                <w:szCs w:val="21"/>
                <w:lang w:eastAsia="fr-FR"/>
              </w:rPr>
              <w:t>Nov</w:t>
            </w:r>
            <w:proofErr w:type="spellEnd"/>
            <w:r w:rsidRPr="00713EC6">
              <w:rPr>
                <w:rFonts w:ascii="Calibri" w:eastAsia="Times New Roman" w:hAnsi="Calibri" w:cs="Calibri"/>
                <w:color w:val="000000"/>
                <w:sz w:val="21"/>
                <w:szCs w:val="21"/>
                <w:lang w:eastAsia="fr-FR"/>
              </w:rPr>
              <w:t xml:space="preserve"> 18</w:t>
            </w:r>
          </w:p>
        </w:tc>
        <w:tc>
          <w:tcPr>
            <w:tcW w:w="709" w:type="dxa"/>
            <w:tcBorders>
              <w:top w:val="nil"/>
              <w:left w:val="nil"/>
              <w:bottom w:val="single" w:sz="4" w:space="0" w:color="auto"/>
              <w:right w:val="single" w:sz="4" w:space="0" w:color="auto"/>
            </w:tcBorders>
            <w:shd w:val="clear" w:color="auto" w:fill="auto"/>
            <w:noWrap/>
            <w:vAlign w:val="bottom"/>
            <w:hideMark/>
          </w:tcPr>
          <w:p w14:paraId="7D949E58" w14:textId="77777777" w:rsidR="000B3DD8" w:rsidRPr="00713EC6" w:rsidRDefault="000B3DD8" w:rsidP="00A51E14">
            <w:pPr>
              <w:spacing w:after="0" w:line="240" w:lineRule="auto"/>
              <w:rPr>
                <w:rFonts w:ascii="Calibri" w:eastAsia="Times New Roman" w:hAnsi="Calibri" w:cs="Calibri"/>
                <w:color w:val="000000"/>
                <w:sz w:val="21"/>
                <w:szCs w:val="21"/>
                <w:lang w:eastAsia="fr-FR"/>
              </w:rPr>
            </w:pPr>
            <w:proofErr w:type="spellStart"/>
            <w:r w:rsidRPr="00713EC6">
              <w:rPr>
                <w:rFonts w:ascii="Calibri" w:eastAsia="Times New Roman" w:hAnsi="Calibri" w:cs="Calibri"/>
                <w:color w:val="000000"/>
                <w:sz w:val="21"/>
                <w:szCs w:val="21"/>
                <w:lang w:eastAsia="fr-FR"/>
              </w:rPr>
              <w:t>Oct</w:t>
            </w:r>
            <w:proofErr w:type="spellEnd"/>
            <w:r w:rsidRPr="00713EC6">
              <w:rPr>
                <w:rFonts w:ascii="Calibri" w:eastAsia="Times New Roman" w:hAnsi="Calibri" w:cs="Calibri"/>
                <w:color w:val="000000"/>
                <w:sz w:val="21"/>
                <w:szCs w:val="21"/>
                <w:lang w:eastAsia="fr-FR"/>
              </w:rPr>
              <w:t xml:space="preserve"> 17</w:t>
            </w:r>
          </w:p>
        </w:tc>
      </w:tr>
      <w:tr w:rsidR="000B3DD8" w:rsidRPr="00713EC6" w14:paraId="047FF114" w14:textId="77777777" w:rsidTr="00A51E14">
        <w:trPr>
          <w:trHeight w:val="320"/>
          <w:jc w:val="center"/>
        </w:trPr>
        <w:tc>
          <w:tcPr>
            <w:tcW w:w="1129" w:type="dxa"/>
            <w:tcBorders>
              <w:top w:val="nil"/>
              <w:left w:val="single" w:sz="4" w:space="0" w:color="auto"/>
              <w:bottom w:val="nil"/>
              <w:right w:val="single" w:sz="4" w:space="0" w:color="auto"/>
            </w:tcBorders>
            <w:shd w:val="clear" w:color="auto" w:fill="auto"/>
            <w:noWrap/>
            <w:vAlign w:val="bottom"/>
            <w:hideMark/>
          </w:tcPr>
          <w:p w14:paraId="0B8B620B" w14:textId="77777777" w:rsidR="000B3DD8" w:rsidRPr="00713EC6" w:rsidRDefault="000B3DD8" w:rsidP="00A51E14">
            <w:pPr>
              <w:spacing w:after="0" w:line="240" w:lineRule="auto"/>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Secteur 1</w:t>
            </w:r>
          </w:p>
        </w:tc>
        <w:tc>
          <w:tcPr>
            <w:tcW w:w="993" w:type="dxa"/>
            <w:tcBorders>
              <w:top w:val="nil"/>
              <w:left w:val="nil"/>
              <w:bottom w:val="nil"/>
              <w:right w:val="single" w:sz="4" w:space="0" w:color="auto"/>
            </w:tcBorders>
            <w:shd w:val="clear" w:color="000000" w:fill="FDE9D9"/>
            <w:noWrap/>
            <w:vAlign w:val="bottom"/>
            <w:hideMark/>
          </w:tcPr>
          <w:p w14:paraId="7D3D047A"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443</w:t>
            </w:r>
          </w:p>
        </w:tc>
        <w:tc>
          <w:tcPr>
            <w:tcW w:w="708" w:type="dxa"/>
            <w:tcBorders>
              <w:top w:val="nil"/>
              <w:left w:val="nil"/>
              <w:bottom w:val="nil"/>
              <w:right w:val="single" w:sz="4" w:space="0" w:color="auto"/>
            </w:tcBorders>
            <w:shd w:val="clear" w:color="auto" w:fill="auto"/>
            <w:noWrap/>
            <w:vAlign w:val="bottom"/>
            <w:hideMark/>
          </w:tcPr>
          <w:p w14:paraId="28E1BD46"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297</w:t>
            </w:r>
          </w:p>
        </w:tc>
        <w:tc>
          <w:tcPr>
            <w:tcW w:w="993" w:type="dxa"/>
            <w:tcBorders>
              <w:top w:val="nil"/>
              <w:left w:val="nil"/>
              <w:bottom w:val="nil"/>
              <w:right w:val="single" w:sz="4" w:space="0" w:color="auto"/>
            </w:tcBorders>
            <w:shd w:val="clear" w:color="000000" w:fill="FDE9D9"/>
            <w:noWrap/>
            <w:vAlign w:val="bottom"/>
            <w:hideMark/>
          </w:tcPr>
          <w:p w14:paraId="7726F121"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630</w:t>
            </w:r>
          </w:p>
        </w:tc>
        <w:tc>
          <w:tcPr>
            <w:tcW w:w="850" w:type="dxa"/>
            <w:tcBorders>
              <w:top w:val="nil"/>
              <w:left w:val="nil"/>
              <w:bottom w:val="nil"/>
              <w:right w:val="single" w:sz="4" w:space="0" w:color="auto"/>
            </w:tcBorders>
            <w:shd w:val="clear" w:color="auto" w:fill="auto"/>
            <w:noWrap/>
            <w:vAlign w:val="bottom"/>
            <w:hideMark/>
          </w:tcPr>
          <w:p w14:paraId="2BFD82DD"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424</w:t>
            </w:r>
          </w:p>
        </w:tc>
        <w:tc>
          <w:tcPr>
            <w:tcW w:w="851" w:type="dxa"/>
            <w:tcBorders>
              <w:top w:val="nil"/>
              <w:left w:val="nil"/>
              <w:bottom w:val="nil"/>
              <w:right w:val="single" w:sz="4" w:space="0" w:color="auto"/>
            </w:tcBorders>
            <w:shd w:val="clear" w:color="000000" w:fill="FDE9D9"/>
            <w:noWrap/>
            <w:vAlign w:val="bottom"/>
            <w:hideMark/>
          </w:tcPr>
          <w:p w14:paraId="37922623"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2 167</w:t>
            </w:r>
          </w:p>
        </w:tc>
        <w:tc>
          <w:tcPr>
            <w:tcW w:w="850" w:type="dxa"/>
            <w:tcBorders>
              <w:top w:val="nil"/>
              <w:left w:val="nil"/>
              <w:bottom w:val="nil"/>
              <w:right w:val="single" w:sz="4" w:space="0" w:color="auto"/>
            </w:tcBorders>
            <w:shd w:val="clear" w:color="auto" w:fill="auto"/>
            <w:noWrap/>
            <w:vAlign w:val="bottom"/>
            <w:hideMark/>
          </w:tcPr>
          <w:p w14:paraId="7CCDDBFC"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2 264</w:t>
            </w:r>
          </w:p>
        </w:tc>
        <w:tc>
          <w:tcPr>
            <w:tcW w:w="851" w:type="dxa"/>
            <w:tcBorders>
              <w:top w:val="nil"/>
              <w:left w:val="nil"/>
              <w:bottom w:val="nil"/>
              <w:right w:val="single" w:sz="4" w:space="0" w:color="auto"/>
            </w:tcBorders>
            <w:shd w:val="clear" w:color="000000" w:fill="FDE9D9"/>
            <w:noWrap/>
            <w:vAlign w:val="bottom"/>
            <w:hideMark/>
          </w:tcPr>
          <w:p w14:paraId="007D597F"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869</w:t>
            </w:r>
          </w:p>
        </w:tc>
        <w:tc>
          <w:tcPr>
            <w:tcW w:w="708" w:type="dxa"/>
            <w:tcBorders>
              <w:top w:val="nil"/>
              <w:left w:val="nil"/>
              <w:bottom w:val="nil"/>
              <w:right w:val="single" w:sz="4" w:space="0" w:color="auto"/>
            </w:tcBorders>
            <w:shd w:val="clear" w:color="auto" w:fill="auto"/>
            <w:noWrap/>
            <w:vAlign w:val="bottom"/>
            <w:hideMark/>
          </w:tcPr>
          <w:p w14:paraId="63DF15DB"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623</w:t>
            </w:r>
          </w:p>
        </w:tc>
        <w:tc>
          <w:tcPr>
            <w:tcW w:w="851" w:type="dxa"/>
            <w:tcBorders>
              <w:top w:val="nil"/>
              <w:left w:val="nil"/>
              <w:bottom w:val="nil"/>
              <w:right w:val="single" w:sz="4" w:space="0" w:color="auto"/>
            </w:tcBorders>
            <w:shd w:val="clear" w:color="000000" w:fill="FDE9D9"/>
            <w:noWrap/>
            <w:vAlign w:val="bottom"/>
            <w:hideMark/>
          </w:tcPr>
          <w:p w14:paraId="00565FA9"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494</w:t>
            </w:r>
          </w:p>
        </w:tc>
        <w:tc>
          <w:tcPr>
            <w:tcW w:w="709" w:type="dxa"/>
            <w:tcBorders>
              <w:top w:val="nil"/>
              <w:left w:val="nil"/>
              <w:bottom w:val="nil"/>
              <w:right w:val="single" w:sz="4" w:space="0" w:color="auto"/>
            </w:tcBorders>
            <w:shd w:val="clear" w:color="auto" w:fill="auto"/>
            <w:noWrap/>
            <w:vAlign w:val="bottom"/>
            <w:hideMark/>
          </w:tcPr>
          <w:p w14:paraId="0CA080F5"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282</w:t>
            </w:r>
          </w:p>
        </w:tc>
      </w:tr>
      <w:tr w:rsidR="000B3DD8" w:rsidRPr="00713EC6" w14:paraId="0501E7C4" w14:textId="77777777" w:rsidTr="00A51E14">
        <w:trPr>
          <w:trHeight w:val="320"/>
          <w:jc w:val="center"/>
        </w:trPr>
        <w:tc>
          <w:tcPr>
            <w:tcW w:w="1129" w:type="dxa"/>
            <w:tcBorders>
              <w:top w:val="nil"/>
              <w:left w:val="single" w:sz="4" w:space="0" w:color="auto"/>
              <w:bottom w:val="nil"/>
              <w:right w:val="single" w:sz="4" w:space="0" w:color="auto"/>
            </w:tcBorders>
            <w:shd w:val="clear" w:color="auto" w:fill="auto"/>
            <w:noWrap/>
            <w:vAlign w:val="bottom"/>
            <w:hideMark/>
          </w:tcPr>
          <w:p w14:paraId="3B50455A" w14:textId="77777777" w:rsidR="000B3DD8" w:rsidRPr="00713EC6" w:rsidRDefault="000B3DD8" w:rsidP="00A51E14">
            <w:pPr>
              <w:spacing w:after="0" w:line="240" w:lineRule="auto"/>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Secteur 2</w:t>
            </w:r>
          </w:p>
        </w:tc>
        <w:tc>
          <w:tcPr>
            <w:tcW w:w="993" w:type="dxa"/>
            <w:tcBorders>
              <w:top w:val="nil"/>
              <w:left w:val="nil"/>
              <w:bottom w:val="nil"/>
              <w:right w:val="single" w:sz="4" w:space="0" w:color="auto"/>
            </w:tcBorders>
            <w:shd w:val="clear" w:color="000000" w:fill="FDE9D9"/>
            <w:noWrap/>
            <w:vAlign w:val="bottom"/>
            <w:hideMark/>
          </w:tcPr>
          <w:p w14:paraId="11816804"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199</w:t>
            </w:r>
          </w:p>
        </w:tc>
        <w:tc>
          <w:tcPr>
            <w:tcW w:w="708" w:type="dxa"/>
            <w:tcBorders>
              <w:top w:val="nil"/>
              <w:left w:val="nil"/>
              <w:bottom w:val="nil"/>
              <w:right w:val="single" w:sz="4" w:space="0" w:color="auto"/>
            </w:tcBorders>
            <w:shd w:val="clear" w:color="auto" w:fill="auto"/>
            <w:noWrap/>
            <w:vAlign w:val="bottom"/>
            <w:hideMark/>
          </w:tcPr>
          <w:p w14:paraId="2C8017A1"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170</w:t>
            </w:r>
          </w:p>
        </w:tc>
        <w:tc>
          <w:tcPr>
            <w:tcW w:w="993" w:type="dxa"/>
            <w:tcBorders>
              <w:top w:val="nil"/>
              <w:left w:val="nil"/>
              <w:bottom w:val="nil"/>
              <w:right w:val="single" w:sz="4" w:space="0" w:color="auto"/>
            </w:tcBorders>
            <w:shd w:val="clear" w:color="000000" w:fill="FDE9D9"/>
            <w:noWrap/>
            <w:vAlign w:val="bottom"/>
            <w:hideMark/>
          </w:tcPr>
          <w:p w14:paraId="49173B7A"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346</w:t>
            </w:r>
          </w:p>
        </w:tc>
        <w:tc>
          <w:tcPr>
            <w:tcW w:w="850" w:type="dxa"/>
            <w:tcBorders>
              <w:top w:val="nil"/>
              <w:left w:val="nil"/>
              <w:bottom w:val="nil"/>
              <w:right w:val="single" w:sz="4" w:space="0" w:color="auto"/>
            </w:tcBorders>
            <w:shd w:val="clear" w:color="auto" w:fill="auto"/>
            <w:noWrap/>
            <w:vAlign w:val="bottom"/>
            <w:hideMark/>
          </w:tcPr>
          <w:p w14:paraId="1B5195CF"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272</w:t>
            </w:r>
          </w:p>
        </w:tc>
        <w:tc>
          <w:tcPr>
            <w:tcW w:w="851" w:type="dxa"/>
            <w:tcBorders>
              <w:top w:val="nil"/>
              <w:left w:val="nil"/>
              <w:bottom w:val="nil"/>
              <w:right w:val="single" w:sz="4" w:space="0" w:color="auto"/>
            </w:tcBorders>
            <w:shd w:val="clear" w:color="000000" w:fill="FDE9D9"/>
            <w:noWrap/>
            <w:vAlign w:val="bottom"/>
            <w:hideMark/>
          </w:tcPr>
          <w:p w14:paraId="23ECDB8D"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2 224</w:t>
            </w:r>
          </w:p>
        </w:tc>
        <w:tc>
          <w:tcPr>
            <w:tcW w:w="850" w:type="dxa"/>
            <w:tcBorders>
              <w:top w:val="nil"/>
              <w:left w:val="nil"/>
              <w:bottom w:val="nil"/>
              <w:right w:val="single" w:sz="4" w:space="0" w:color="auto"/>
            </w:tcBorders>
            <w:shd w:val="clear" w:color="auto" w:fill="auto"/>
            <w:noWrap/>
            <w:vAlign w:val="bottom"/>
            <w:hideMark/>
          </w:tcPr>
          <w:p w14:paraId="50AF7049"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1 846</w:t>
            </w:r>
          </w:p>
        </w:tc>
        <w:tc>
          <w:tcPr>
            <w:tcW w:w="851" w:type="dxa"/>
            <w:tcBorders>
              <w:top w:val="nil"/>
              <w:left w:val="nil"/>
              <w:bottom w:val="nil"/>
              <w:right w:val="single" w:sz="4" w:space="0" w:color="auto"/>
            </w:tcBorders>
            <w:shd w:val="clear" w:color="000000" w:fill="FDE9D9"/>
            <w:noWrap/>
            <w:vAlign w:val="bottom"/>
            <w:hideMark/>
          </w:tcPr>
          <w:p w14:paraId="757385F8"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586</w:t>
            </w:r>
          </w:p>
        </w:tc>
        <w:tc>
          <w:tcPr>
            <w:tcW w:w="708" w:type="dxa"/>
            <w:tcBorders>
              <w:top w:val="nil"/>
              <w:left w:val="nil"/>
              <w:bottom w:val="nil"/>
              <w:right w:val="single" w:sz="4" w:space="0" w:color="auto"/>
            </w:tcBorders>
            <w:shd w:val="clear" w:color="auto" w:fill="auto"/>
            <w:noWrap/>
            <w:vAlign w:val="bottom"/>
            <w:hideMark/>
          </w:tcPr>
          <w:p w14:paraId="6BE7790C"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516</w:t>
            </w:r>
          </w:p>
        </w:tc>
        <w:tc>
          <w:tcPr>
            <w:tcW w:w="851" w:type="dxa"/>
            <w:tcBorders>
              <w:top w:val="nil"/>
              <w:left w:val="nil"/>
              <w:bottom w:val="nil"/>
              <w:right w:val="single" w:sz="4" w:space="0" w:color="auto"/>
            </w:tcBorders>
            <w:shd w:val="clear" w:color="000000" w:fill="FDE9D9"/>
            <w:noWrap/>
            <w:vAlign w:val="bottom"/>
            <w:hideMark/>
          </w:tcPr>
          <w:p w14:paraId="2A1BA83D"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311</w:t>
            </w:r>
          </w:p>
        </w:tc>
        <w:tc>
          <w:tcPr>
            <w:tcW w:w="709" w:type="dxa"/>
            <w:tcBorders>
              <w:top w:val="nil"/>
              <w:left w:val="nil"/>
              <w:bottom w:val="nil"/>
              <w:right w:val="single" w:sz="4" w:space="0" w:color="auto"/>
            </w:tcBorders>
            <w:shd w:val="clear" w:color="auto" w:fill="auto"/>
            <w:noWrap/>
            <w:vAlign w:val="bottom"/>
            <w:hideMark/>
          </w:tcPr>
          <w:p w14:paraId="0211EEC7"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246</w:t>
            </w:r>
          </w:p>
        </w:tc>
      </w:tr>
      <w:tr w:rsidR="000B3DD8" w:rsidRPr="00713EC6" w14:paraId="6237C8AC" w14:textId="77777777" w:rsidTr="00A51E14">
        <w:trPr>
          <w:trHeight w:val="320"/>
          <w:jc w:val="center"/>
        </w:trPr>
        <w:tc>
          <w:tcPr>
            <w:tcW w:w="1129" w:type="dxa"/>
            <w:tcBorders>
              <w:top w:val="nil"/>
              <w:left w:val="single" w:sz="4" w:space="0" w:color="auto"/>
              <w:bottom w:val="nil"/>
              <w:right w:val="single" w:sz="4" w:space="0" w:color="auto"/>
            </w:tcBorders>
            <w:shd w:val="clear" w:color="auto" w:fill="auto"/>
            <w:noWrap/>
            <w:vAlign w:val="bottom"/>
            <w:hideMark/>
          </w:tcPr>
          <w:p w14:paraId="352508C6" w14:textId="77777777" w:rsidR="000B3DD8" w:rsidRPr="00713EC6" w:rsidRDefault="000B3DD8" w:rsidP="00A51E14">
            <w:pPr>
              <w:spacing w:after="0" w:line="240" w:lineRule="auto"/>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Secteur 3</w:t>
            </w:r>
          </w:p>
        </w:tc>
        <w:tc>
          <w:tcPr>
            <w:tcW w:w="993" w:type="dxa"/>
            <w:tcBorders>
              <w:top w:val="nil"/>
              <w:left w:val="nil"/>
              <w:bottom w:val="nil"/>
              <w:right w:val="single" w:sz="4" w:space="0" w:color="auto"/>
            </w:tcBorders>
            <w:shd w:val="clear" w:color="000000" w:fill="FDE9D9"/>
            <w:noWrap/>
            <w:vAlign w:val="bottom"/>
            <w:hideMark/>
          </w:tcPr>
          <w:p w14:paraId="68CE51BC"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271</w:t>
            </w:r>
          </w:p>
        </w:tc>
        <w:tc>
          <w:tcPr>
            <w:tcW w:w="708" w:type="dxa"/>
            <w:tcBorders>
              <w:top w:val="nil"/>
              <w:left w:val="nil"/>
              <w:bottom w:val="nil"/>
              <w:right w:val="single" w:sz="4" w:space="0" w:color="auto"/>
            </w:tcBorders>
            <w:shd w:val="clear" w:color="auto" w:fill="auto"/>
            <w:noWrap/>
            <w:vAlign w:val="bottom"/>
            <w:hideMark/>
          </w:tcPr>
          <w:p w14:paraId="4E2284A2"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246</w:t>
            </w:r>
          </w:p>
        </w:tc>
        <w:tc>
          <w:tcPr>
            <w:tcW w:w="993" w:type="dxa"/>
            <w:tcBorders>
              <w:top w:val="nil"/>
              <w:left w:val="nil"/>
              <w:bottom w:val="nil"/>
              <w:right w:val="single" w:sz="4" w:space="0" w:color="auto"/>
            </w:tcBorders>
            <w:shd w:val="clear" w:color="000000" w:fill="FDE9D9"/>
            <w:noWrap/>
            <w:vAlign w:val="bottom"/>
            <w:hideMark/>
          </w:tcPr>
          <w:p w14:paraId="1D47093B"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481</w:t>
            </w:r>
          </w:p>
        </w:tc>
        <w:tc>
          <w:tcPr>
            <w:tcW w:w="850" w:type="dxa"/>
            <w:tcBorders>
              <w:top w:val="nil"/>
              <w:left w:val="nil"/>
              <w:bottom w:val="nil"/>
              <w:right w:val="single" w:sz="4" w:space="0" w:color="auto"/>
            </w:tcBorders>
            <w:shd w:val="clear" w:color="auto" w:fill="auto"/>
            <w:noWrap/>
            <w:vAlign w:val="bottom"/>
            <w:hideMark/>
          </w:tcPr>
          <w:p w14:paraId="4939CFC2"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349</w:t>
            </w:r>
          </w:p>
        </w:tc>
        <w:tc>
          <w:tcPr>
            <w:tcW w:w="851" w:type="dxa"/>
            <w:tcBorders>
              <w:top w:val="nil"/>
              <w:left w:val="nil"/>
              <w:bottom w:val="nil"/>
              <w:right w:val="single" w:sz="4" w:space="0" w:color="auto"/>
            </w:tcBorders>
            <w:shd w:val="clear" w:color="000000" w:fill="FDE9D9"/>
            <w:noWrap/>
            <w:vAlign w:val="bottom"/>
            <w:hideMark/>
          </w:tcPr>
          <w:p w14:paraId="49E42F93"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2 850</w:t>
            </w:r>
          </w:p>
        </w:tc>
        <w:tc>
          <w:tcPr>
            <w:tcW w:w="850" w:type="dxa"/>
            <w:tcBorders>
              <w:top w:val="nil"/>
              <w:left w:val="nil"/>
              <w:bottom w:val="nil"/>
              <w:right w:val="single" w:sz="4" w:space="0" w:color="auto"/>
            </w:tcBorders>
            <w:shd w:val="clear" w:color="auto" w:fill="auto"/>
            <w:noWrap/>
            <w:vAlign w:val="bottom"/>
            <w:hideMark/>
          </w:tcPr>
          <w:p w14:paraId="5201FC08"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2 459</w:t>
            </w:r>
          </w:p>
        </w:tc>
        <w:tc>
          <w:tcPr>
            <w:tcW w:w="851" w:type="dxa"/>
            <w:tcBorders>
              <w:top w:val="nil"/>
              <w:left w:val="nil"/>
              <w:bottom w:val="nil"/>
              <w:right w:val="single" w:sz="4" w:space="0" w:color="auto"/>
            </w:tcBorders>
            <w:shd w:val="clear" w:color="000000" w:fill="FDE9D9"/>
            <w:noWrap/>
            <w:vAlign w:val="bottom"/>
            <w:hideMark/>
          </w:tcPr>
          <w:p w14:paraId="312EB2BF"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1 052</w:t>
            </w:r>
          </w:p>
        </w:tc>
        <w:tc>
          <w:tcPr>
            <w:tcW w:w="708" w:type="dxa"/>
            <w:tcBorders>
              <w:top w:val="nil"/>
              <w:left w:val="nil"/>
              <w:bottom w:val="nil"/>
              <w:right w:val="single" w:sz="4" w:space="0" w:color="auto"/>
            </w:tcBorders>
            <w:shd w:val="clear" w:color="auto" w:fill="auto"/>
            <w:noWrap/>
            <w:vAlign w:val="bottom"/>
            <w:hideMark/>
          </w:tcPr>
          <w:p w14:paraId="678C1C2E"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669</w:t>
            </w:r>
          </w:p>
        </w:tc>
        <w:tc>
          <w:tcPr>
            <w:tcW w:w="851" w:type="dxa"/>
            <w:tcBorders>
              <w:top w:val="nil"/>
              <w:left w:val="nil"/>
              <w:bottom w:val="nil"/>
              <w:right w:val="single" w:sz="4" w:space="0" w:color="auto"/>
            </w:tcBorders>
            <w:shd w:val="clear" w:color="000000" w:fill="FDE9D9"/>
            <w:noWrap/>
            <w:vAlign w:val="bottom"/>
            <w:hideMark/>
          </w:tcPr>
          <w:p w14:paraId="052205E7"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504</w:t>
            </w:r>
          </w:p>
        </w:tc>
        <w:tc>
          <w:tcPr>
            <w:tcW w:w="709" w:type="dxa"/>
            <w:tcBorders>
              <w:top w:val="nil"/>
              <w:left w:val="nil"/>
              <w:bottom w:val="nil"/>
              <w:right w:val="single" w:sz="4" w:space="0" w:color="auto"/>
            </w:tcBorders>
            <w:shd w:val="clear" w:color="auto" w:fill="auto"/>
            <w:noWrap/>
            <w:vAlign w:val="bottom"/>
            <w:hideMark/>
          </w:tcPr>
          <w:p w14:paraId="054925B2"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328</w:t>
            </w:r>
          </w:p>
        </w:tc>
      </w:tr>
      <w:tr w:rsidR="000B3DD8" w:rsidRPr="00713EC6" w14:paraId="50046ADC" w14:textId="77777777" w:rsidTr="00A51E14">
        <w:trPr>
          <w:trHeight w:val="320"/>
          <w:jc w:val="center"/>
        </w:trPr>
        <w:tc>
          <w:tcPr>
            <w:tcW w:w="1129" w:type="dxa"/>
            <w:tcBorders>
              <w:top w:val="nil"/>
              <w:left w:val="single" w:sz="4" w:space="0" w:color="auto"/>
              <w:bottom w:val="nil"/>
              <w:right w:val="single" w:sz="4" w:space="0" w:color="auto"/>
            </w:tcBorders>
            <w:shd w:val="clear" w:color="auto" w:fill="auto"/>
            <w:noWrap/>
            <w:vAlign w:val="bottom"/>
            <w:hideMark/>
          </w:tcPr>
          <w:p w14:paraId="111A525E" w14:textId="77777777" w:rsidR="000B3DD8" w:rsidRPr="00713EC6" w:rsidRDefault="000B3DD8" w:rsidP="00A51E14">
            <w:pPr>
              <w:spacing w:after="0" w:line="240" w:lineRule="auto"/>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Secteur 4</w:t>
            </w:r>
          </w:p>
        </w:tc>
        <w:tc>
          <w:tcPr>
            <w:tcW w:w="993" w:type="dxa"/>
            <w:tcBorders>
              <w:top w:val="nil"/>
              <w:left w:val="nil"/>
              <w:bottom w:val="nil"/>
              <w:right w:val="single" w:sz="4" w:space="0" w:color="auto"/>
            </w:tcBorders>
            <w:shd w:val="clear" w:color="000000" w:fill="FDE9D9"/>
            <w:noWrap/>
            <w:vAlign w:val="bottom"/>
            <w:hideMark/>
          </w:tcPr>
          <w:p w14:paraId="39D6987F"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184</w:t>
            </w:r>
          </w:p>
        </w:tc>
        <w:tc>
          <w:tcPr>
            <w:tcW w:w="708" w:type="dxa"/>
            <w:tcBorders>
              <w:top w:val="nil"/>
              <w:left w:val="nil"/>
              <w:bottom w:val="nil"/>
              <w:right w:val="single" w:sz="4" w:space="0" w:color="auto"/>
            </w:tcBorders>
            <w:shd w:val="clear" w:color="auto" w:fill="auto"/>
            <w:noWrap/>
            <w:vAlign w:val="bottom"/>
            <w:hideMark/>
          </w:tcPr>
          <w:p w14:paraId="78A50A63"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150</w:t>
            </w:r>
          </w:p>
        </w:tc>
        <w:tc>
          <w:tcPr>
            <w:tcW w:w="993" w:type="dxa"/>
            <w:tcBorders>
              <w:top w:val="nil"/>
              <w:left w:val="nil"/>
              <w:bottom w:val="nil"/>
              <w:right w:val="single" w:sz="4" w:space="0" w:color="auto"/>
            </w:tcBorders>
            <w:shd w:val="clear" w:color="000000" w:fill="FDE9D9"/>
            <w:noWrap/>
            <w:vAlign w:val="bottom"/>
            <w:hideMark/>
          </w:tcPr>
          <w:p w14:paraId="6E8C7864"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261</w:t>
            </w:r>
          </w:p>
        </w:tc>
        <w:tc>
          <w:tcPr>
            <w:tcW w:w="850" w:type="dxa"/>
            <w:tcBorders>
              <w:top w:val="nil"/>
              <w:left w:val="nil"/>
              <w:bottom w:val="nil"/>
              <w:right w:val="single" w:sz="4" w:space="0" w:color="auto"/>
            </w:tcBorders>
            <w:shd w:val="clear" w:color="auto" w:fill="auto"/>
            <w:noWrap/>
            <w:vAlign w:val="bottom"/>
            <w:hideMark/>
          </w:tcPr>
          <w:p w14:paraId="1DF37B0F"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195</w:t>
            </w:r>
          </w:p>
        </w:tc>
        <w:tc>
          <w:tcPr>
            <w:tcW w:w="851" w:type="dxa"/>
            <w:tcBorders>
              <w:top w:val="nil"/>
              <w:left w:val="nil"/>
              <w:bottom w:val="nil"/>
              <w:right w:val="single" w:sz="4" w:space="0" w:color="auto"/>
            </w:tcBorders>
            <w:shd w:val="clear" w:color="000000" w:fill="FDE9D9"/>
            <w:noWrap/>
            <w:vAlign w:val="bottom"/>
            <w:hideMark/>
          </w:tcPr>
          <w:p w14:paraId="20C4A320"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1 190</w:t>
            </w:r>
          </w:p>
        </w:tc>
        <w:tc>
          <w:tcPr>
            <w:tcW w:w="850" w:type="dxa"/>
            <w:tcBorders>
              <w:top w:val="nil"/>
              <w:left w:val="nil"/>
              <w:bottom w:val="nil"/>
              <w:right w:val="single" w:sz="4" w:space="0" w:color="auto"/>
            </w:tcBorders>
            <w:shd w:val="clear" w:color="auto" w:fill="auto"/>
            <w:noWrap/>
            <w:vAlign w:val="bottom"/>
            <w:hideMark/>
          </w:tcPr>
          <w:p w14:paraId="32B2D0B4"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1 654</w:t>
            </w:r>
          </w:p>
        </w:tc>
        <w:tc>
          <w:tcPr>
            <w:tcW w:w="851" w:type="dxa"/>
            <w:tcBorders>
              <w:top w:val="nil"/>
              <w:left w:val="nil"/>
              <w:bottom w:val="nil"/>
              <w:right w:val="single" w:sz="4" w:space="0" w:color="auto"/>
            </w:tcBorders>
            <w:shd w:val="clear" w:color="000000" w:fill="FDE9D9"/>
            <w:noWrap/>
            <w:vAlign w:val="bottom"/>
            <w:hideMark/>
          </w:tcPr>
          <w:p w14:paraId="10FD4736"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487</w:t>
            </w:r>
          </w:p>
        </w:tc>
        <w:tc>
          <w:tcPr>
            <w:tcW w:w="708" w:type="dxa"/>
            <w:tcBorders>
              <w:top w:val="nil"/>
              <w:left w:val="nil"/>
              <w:bottom w:val="nil"/>
              <w:right w:val="single" w:sz="4" w:space="0" w:color="auto"/>
            </w:tcBorders>
            <w:shd w:val="clear" w:color="auto" w:fill="auto"/>
            <w:noWrap/>
            <w:vAlign w:val="bottom"/>
            <w:hideMark/>
          </w:tcPr>
          <w:p w14:paraId="5FA19079"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448</w:t>
            </w:r>
          </w:p>
        </w:tc>
        <w:tc>
          <w:tcPr>
            <w:tcW w:w="851" w:type="dxa"/>
            <w:tcBorders>
              <w:top w:val="nil"/>
              <w:left w:val="nil"/>
              <w:bottom w:val="nil"/>
              <w:right w:val="single" w:sz="4" w:space="0" w:color="auto"/>
            </w:tcBorders>
            <w:shd w:val="clear" w:color="000000" w:fill="FDE9D9"/>
            <w:noWrap/>
            <w:vAlign w:val="bottom"/>
            <w:hideMark/>
          </w:tcPr>
          <w:p w14:paraId="54305217"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217</w:t>
            </w:r>
          </w:p>
        </w:tc>
        <w:tc>
          <w:tcPr>
            <w:tcW w:w="709" w:type="dxa"/>
            <w:tcBorders>
              <w:top w:val="nil"/>
              <w:left w:val="nil"/>
              <w:bottom w:val="nil"/>
              <w:right w:val="single" w:sz="4" w:space="0" w:color="auto"/>
            </w:tcBorders>
            <w:shd w:val="clear" w:color="auto" w:fill="auto"/>
            <w:noWrap/>
            <w:vAlign w:val="bottom"/>
            <w:hideMark/>
          </w:tcPr>
          <w:p w14:paraId="5CCA17EB"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195</w:t>
            </w:r>
          </w:p>
        </w:tc>
      </w:tr>
      <w:tr w:rsidR="000B3DD8" w:rsidRPr="00713EC6" w14:paraId="7B6AF0A9" w14:textId="77777777" w:rsidTr="00A51E14">
        <w:trPr>
          <w:trHeight w:val="320"/>
          <w:jc w:val="center"/>
        </w:trPr>
        <w:tc>
          <w:tcPr>
            <w:tcW w:w="1129" w:type="dxa"/>
            <w:tcBorders>
              <w:top w:val="nil"/>
              <w:left w:val="single" w:sz="4" w:space="0" w:color="auto"/>
              <w:bottom w:val="nil"/>
              <w:right w:val="single" w:sz="4" w:space="0" w:color="auto"/>
            </w:tcBorders>
            <w:shd w:val="clear" w:color="auto" w:fill="auto"/>
            <w:noWrap/>
            <w:vAlign w:val="bottom"/>
            <w:hideMark/>
          </w:tcPr>
          <w:p w14:paraId="5484679E" w14:textId="77777777" w:rsidR="000B3DD8" w:rsidRPr="00713EC6" w:rsidRDefault="000B3DD8" w:rsidP="00A51E14">
            <w:pPr>
              <w:spacing w:after="0" w:line="240" w:lineRule="auto"/>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Secteur 5</w:t>
            </w:r>
          </w:p>
        </w:tc>
        <w:tc>
          <w:tcPr>
            <w:tcW w:w="993" w:type="dxa"/>
            <w:tcBorders>
              <w:top w:val="nil"/>
              <w:left w:val="nil"/>
              <w:bottom w:val="nil"/>
              <w:right w:val="single" w:sz="4" w:space="0" w:color="auto"/>
            </w:tcBorders>
            <w:shd w:val="clear" w:color="000000" w:fill="FDE9D9"/>
            <w:noWrap/>
            <w:vAlign w:val="bottom"/>
            <w:hideMark/>
          </w:tcPr>
          <w:p w14:paraId="7687EF3D"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285</w:t>
            </w:r>
          </w:p>
        </w:tc>
        <w:tc>
          <w:tcPr>
            <w:tcW w:w="708" w:type="dxa"/>
            <w:tcBorders>
              <w:top w:val="nil"/>
              <w:left w:val="nil"/>
              <w:bottom w:val="nil"/>
              <w:right w:val="single" w:sz="4" w:space="0" w:color="auto"/>
            </w:tcBorders>
            <w:shd w:val="clear" w:color="auto" w:fill="auto"/>
            <w:noWrap/>
            <w:vAlign w:val="bottom"/>
            <w:hideMark/>
          </w:tcPr>
          <w:p w14:paraId="57F1E501"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73</w:t>
            </w:r>
          </w:p>
        </w:tc>
        <w:tc>
          <w:tcPr>
            <w:tcW w:w="993" w:type="dxa"/>
            <w:tcBorders>
              <w:top w:val="nil"/>
              <w:left w:val="nil"/>
              <w:bottom w:val="nil"/>
              <w:right w:val="single" w:sz="4" w:space="0" w:color="auto"/>
            </w:tcBorders>
            <w:shd w:val="clear" w:color="000000" w:fill="FDE9D9"/>
            <w:noWrap/>
            <w:vAlign w:val="bottom"/>
            <w:hideMark/>
          </w:tcPr>
          <w:p w14:paraId="75EB3C4A"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333</w:t>
            </w:r>
          </w:p>
        </w:tc>
        <w:tc>
          <w:tcPr>
            <w:tcW w:w="850" w:type="dxa"/>
            <w:tcBorders>
              <w:top w:val="nil"/>
              <w:left w:val="nil"/>
              <w:bottom w:val="nil"/>
              <w:right w:val="single" w:sz="4" w:space="0" w:color="auto"/>
            </w:tcBorders>
            <w:shd w:val="clear" w:color="auto" w:fill="auto"/>
            <w:noWrap/>
            <w:vAlign w:val="bottom"/>
            <w:hideMark/>
          </w:tcPr>
          <w:p w14:paraId="5C74D66C"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195</w:t>
            </w:r>
          </w:p>
        </w:tc>
        <w:tc>
          <w:tcPr>
            <w:tcW w:w="851" w:type="dxa"/>
            <w:tcBorders>
              <w:top w:val="nil"/>
              <w:left w:val="nil"/>
              <w:bottom w:val="nil"/>
              <w:right w:val="single" w:sz="4" w:space="0" w:color="auto"/>
            </w:tcBorders>
            <w:shd w:val="clear" w:color="000000" w:fill="FDE9D9"/>
            <w:noWrap/>
            <w:vAlign w:val="bottom"/>
            <w:hideMark/>
          </w:tcPr>
          <w:p w14:paraId="0952CAAC"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1 214</w:t>
            </w:r>
          </w:p>
        </w:tc>
        <w:tc>
          <w:tcPr>
            <w:tcW w:w="850" w:type="dxa"/>
            <w:tcBorders>
              <w:top w:val="nil"/>
              <w:left w:val="nil"/>
              <w:bottom w:val="nil"/>
              <w:right w:val="single" w:sz="4" w:space="0" w:color="auto"/>
            </w:tcBorders>
            <w:shd w:val="clear" w:color="auto" w:fill="auto"/>
            <w:noWrap/>
            <w:vAlign w:val="bottom"/>
            <w:hideMark/>
          </w:tcPr>
          <w:p w14:paraId="4835EF5E"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601</w:t>
            </w:r>
          </w:p>
        </w:tc>
        <w:tc>
          <w:tcPr>
            <w:tcW w:w="851" w:type="dxa"/>
            <w:tcBorders>
              <w:top w:val="nil"/>
              <w:left w:val="nil"/>
              <w:bottom w:val="nil"/>
              <w:right w:val="single" w:sz="4" w:space="0" w:color="auto"/>
            </w:tcBorders>
            <w:shd w:val="clear" w:color="000000" w:fill="FDE9D9"/>
            <w:noWrap/>
            <w:vAlign w:val="bottom"/>
            <w:hideMark/>
          </w:tcPr>
          <w:p w14:paraId="582CBC8B"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617</w:t>
            </w:r>
          </w:p>
        </w:tc>
        <w:tc>
          <w:tcPr>
            <w:tcW w:w="708" w:type="dxa"/>
            <w:tcBorders>
              <w:top w:val="nil"/>
              <w:left w:val="nil"/>
              <w:bottom w:val="nil"/>
              <w:right w:val="single" w:sz="4" w:space="0" w:color="auto"/>
            </w:tcBorders>
            <w:shd w:val="clear" w:color="auto" w:fill="auto"/>
            <w:noWrap/>
            <w:vAlign w:val="bottom"/>
            <w:hideMark/>
          </w:tcPr>
          <w:p w14:paraId="474A00B4"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186</w:t>
            </w:r>
          </w:p>
        </w:tc>
        <w:tc>
          <w:tcPr>
            <w:tcW w:w="851" w:type="dxa"/>
            <w:tcBorders>
              <w:top w:val="nil"/>
              <w:left w:val="nil"/>
              <w:bottom w:val="nil"/>
              <w:right w:val="single" w:sz="4" w:space="0" w:color="auto"/>
            </w:tcBorders>
            <w:shd w:val="clear" w:color="000000" w:fill="FDE9D9"/>
            <w:noWrap/>
            <w:vAlign w:val="bottom"/>
            <w:hideMark/>
          </w:tcPr>
          <w:p w14:paraId="7D09DBEB"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504</w:t>
            </w:r>
          </w:p>
        </w:tc>
        <w:tc>
          <w:tcPr>
            <w:tcW w:w="709" w:type="dxa"/>
            <w:tcBorders>
              <w:top w:val="nil"/>
              <w:left w:val="nil"/>
              <w:bottom w:val="nil"/>
              <w:right w:val="single" w:sz="4" w:space="0" w:color="auto"/>
            </w:tcBorders>
            <w:shd w:val="clear" w:color="auto" w:fill="auto"/>
            <w:noWrap/>
            <w:vAlign w:val="bottom"/>
            <w:hideMark/>
          </w:tcPr>
          <w:p w14:paraId="7E46C11A" w14:textId="77777777" w:rsidR="000B3DD8" w:rsidRPr="00713EC6" w:rsidRDefault="000B3DD8" w:rsidP="00A51E14">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61</w:t>
            </w:r>
          </w:p>
        </w:tc>
      </w:tr>
      <w:tr w:rsidR="000B3DD8" w:rsidRPr="00713EC6" w14:paraId="6935C032" w14:textId="77777777" w:rsidTr="00A51E14">
        <w:trPr>
          <w:trHeight w:val="32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F8B17" w14:textId="77777777" w:rsidR="000B3DD8" w:rsidRPr="00713EC6" w:rsidRDefault="000B3DD8" w:rsidP="00A51E14">
            <w:pPr>
              <w:spacing w:after="0" w:line="240" w:lineRule="auto"/>
              <w:rPr>
                <w:rFonts w:ascii="Calibri" w:eastAsia="Times New Roman" w:hAnsi="Calibri" w:cs="Calibri"/>
                <w:b/>
                <w:bCs/>
                <w:color w:val="000000"/>
                <w:sz w:val="21"/>
                <w:szCs w:val="21"/>
                <w:lang w:eastAsia="fr-FR"/>
              </w:rPr>
            </w:pPr>
            <w:r w:rsidRPr="00713EC6">
              <w:rPr>
                <w:rFonts w:ascii="Calibri" w:eastAsia="Times New Roman" w:hAnsi="Calibri" w:cs="Calibri"/>
                <w:b/>
                <w:bCs/>
                <w:color w:val="000000"/>
                <w:sz w:val="21"/>
                <w:szCs w:val="21"/>
                <w:lang w:eastAsia="fr-FR"/>
              </w:rPr>
              <w:t>Total</w:t>
            </w:r>
          </w:p>
        </w:tc>
        <w:tc>
          <w:tcPr>
            <w:tcW w:w="993" w:type="dxa"/>
            <w:tcBorders>
              <w:top w:val="single" w:sz="4" w:space="0" w:color="auto"/>
              <w:left w:val="nil"/>
              <w:bottom w:val="single" w:sz="4" w:space="0" w:color="auto"/>
              <w:right w:val="single" w:sz="4" w:space="0" w:color="auto"/>
            </w:tcBorders>
            <w:shd w:val="clear" w:color="000000" w:fill="FDE9D9"/>
            <w:noWrap/>
            <w:vAlign w:val="bottom"/>
            <w:hideMark/>
          </w:tcPr>
          <w:p w14:paraId="13A7C966" w14:textId="77777777" w:rsidR="000B3DD8" w:rsidRPr="00713EC6" w:rsidRDefault="000B3DD8" w:rsidP="00A51E14">
            <w:pPr>
              <w:spacing w:after="0" w:line="240" w:lineRule="auto"/>
              <w:jc w:val="center"/>
              <w:rPr>
                <w:rFonts w:ascii="Calibri" w:eastAsia="Times New Roman" w:hAnsi="Calibri" w:cs="Calibri"/>
                <w:b/>
                <w:bCs/>
                <w:color w:val="000000"/>
                <w:sz w:val="21"/>
                <w:szCs w:val="21"/>
                <w:lang w:eastAsia="fr-FR"/>
              </w:rPr>
            </w:pPr>
            <w:r w:rsidRPr="00713EC6">
              <w:rPr>
                <w:rFonts w:ascii="Calibri" w:eastAsia="Times New Roman" w:hAnsi="Calibri" w:cs="Calibri"/>
                <w:b/>
                <w:bCs/>
                <w:color w:val="000000"/>
                <w:sz w:val="21"/>
                <w:szCs w:val="21"/>
                <w:lang w:eastAsia="fr-FR"/>
              </w:rPr>
              <w:t>1 382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6E611F1" w14:textId="77777777" w:rsidR="000B3DD8" w:rsidRPr="00713EC6" w:rsidRDefault="000B3DD8" w:rsidP="00A51E14">
            <w:pPr>
              <w:spacing w:after="0" w:line="240" w:lineRule="auto"/>
              <w:jc w:val="center"/>
              <w:rPr>
                <w:rFonts w:ascii="Calibri" w:eastAsia="Times New Roman" w:hAnsi="Calibri" w:cs="Calibri"/>
                <w:b/>
                <w:bCs/>
                <w:color w:val="000000"/>
                <w:sz w:val="21"/>
                <w:szCs w:val="21"/>
                <w:lang w:eastAsia="fr-FR"/>
              </w:rPr>
            </w:pPr>
            <w:r w:rsidRPr="00713EC6">
              <w:rPr>
                <w:rFonts w:ascii="Calibri" w:eastAsia="Times New Roman" w:hAnsi="Calibri" w:cs="Calibri"/>
                <w:b/>
                <w:bCs/>
                <w:color w:val="000000"/>
                <w:sz w:val="21"/>
                <w:szCs w:val="21"/>
                <w:lang w:eastAsia="fr-FR"/>
              </w:rPr>
              <w:t>936</w:t>
            </w:r>
          </w:p>
        </w:tc>
        <w:tc>
          <w:tcPr>
            <w:tcW w:w="993" w:type="dxa"/>
            <w:tcBorders>
              <w:top w:val="single" w:sz="4" w:space="0" w:color="auto"/>
              <w:left w:val="nil"/>
              <w:bottom w:val="single" w:sz="4" w:space="0" w:color="auto"/>
              <w:right w:val="single" w:sz="4" w:space="0" w:color="auto"/>
            </w:tcBorders>
            <w:shd w:val="clear" w:color="000000" w:fill="FDE9D9"/>
            <w:noWrap/>
            <w:vAlign w:val="bottom"/>
            <w:hideMark/>
          </w:tcPr>
          <w:p w14:paraId="634B13C1" w14:textId="77777777" w:rsidR="000B3DD8" w:rsidRPr="00713EC6" w:rsidRDefault="000B3DD8" w:rsidP="00A51E14">
            <w:pPr>
              <w:spacing w:after="0" w:line="240" w:lineRule="auto"/>
              <w:jc w:val="center"/>
              <w:rPr>
                <w:rFonts w:ascii="Calibri" w:eastAsia="Times New Roman" w:hAnsi="Calibri" w:cs="Calibri"/>
                <w:b/>
                <w:bCs/>
                <w:color w:val="000000"/>
                <w:sz w:val="21"/>
                <w:szCs w:val="21"/>
                <w:lang w:eastAsia="fr-FR"/>
              </w:rPr>
            </w:pPr>
            <w:r w:rsidRPr="00713EC6">
              <w:rPr>
                <w:rFonts w:ascii="Calibri" w:eastAsia="Times New Roman" w:hAnsi="Calibri" w:cs="Calibri"/>
                <w:b/>
                <w:bCs/>
                <w:color w:val="000000"/>
                <w:sz w:val="21"/>
                <w:szCs w:val="21"/>
                <w:lang w:eastAsia="fr-FR"/>
              </w:rPr>
              <w:t>2 051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241BEB6" w14:textId="77777777" w:rsidR="000B3DD8" w:rsidRPr="00713EC6" w:rsidRDefault="000B3DD8" w:rsidP="00A51E14">
            <w:pPr>
              <w:spacing w:after="0" w:line="240" w:lineRule="auto"/>
              <w:jc w:val="center"/>
              <w:rPr>
                <w:rFonts w:ascii="Calibri" w:eastAsia="Times New Roman" w:hAnsi="Calibri" w:cs="Calibri"/>
                <w:b/>
                <w:bCs/>
                <w:color w:val="000000"/>
                <w:sz w:val="21"/>
                <w:szCs w:val="21"/>
                <w:lang w:eastAsia="fr-FR"/>
              </w:rPr>
            </w:pPr>
            <w:r w:rsidRPr="00713EC6">
              <w:rPr>
                <w:rFonts w:ascii="Calibri" w:eastAsia="Times New Roman" w:hAnsi="Calibri" w:cs="Calibri"/>
                <w:b/>
                <w:bCs/>
                <w:color w:val="000000"/>
                <w:sz w:val="21"/>
                <w:szCs w:val="21"/>
                <w:lang w:eastAsia="fr-FR"/>
              </w:rPr>
              <w:t>1 435</w:t>
            </w:r>
          </w:p>
        </w:tc>
        <w:tc>
          <w:tcPr>
            <w:tcW w:w="851" w:type="dxa"/>
            <w:tcBorders>
              <w:top w:val="single" w:sz="4" w:space="0" w:color="auto"/>
              <w:left w:val="nil"/>
              <w:bottom w:val="single" w:sz="4" w:space="0" w:color="auto"/>
              <w:right w:val="single" w:sz="4" w:space="0" w:color="auto"/>
            </w:tcBorders>
            <w:shd w:val="clear" w:color="000000" w:fill="FDE9D9"/>
            <w:noWrap/>
            <w:vAlign w:val="bottom"/>
            <w:hideMark/>
          </w:tcPr>
          <w:p w14:paraId="3F3E1FAA" w14:textId="77777777" w:rsidR="000B3DD8" w:rsidRPr="00713EC6" w:rsidRDefault="000B3DD8" w:rsidP="00A51E14">
            <w:pPr>
              <w:spacing w:after="0" w:line="240" w:lineRule="auto"/>
              <w:jc w:val="center"/>
              <w:rPr>
                <w:rFonts w:ascii="Calibri" w:eastAsia="Times New Roman" w:hAnsi="Calibri" w:cs="Calibri"/>
                <w:b/>
                <w:bCs/>
                <w:color w:val="000000"/>
                <w:sz w:val="21"/>
                <w:szCs w:val="21"/>
                <w:lang w:eastAsia="fr-FR"/>
              </w:rPr>
            </w:pPr>
            <w:r w:rsidRPr="00713EC6">
              <w:rPr>
                <w:rFonts w:ascii="Calibri" w:eastAsia="Times New Roman" w:hAnsi="Calibri" w:cs="Calibri"/>
                <w:b/>
                <w:bCs/>
                <w:color w:val="000000"/>
                <w:sz w:val="21"/>
                <w:szCs w:val="21"/>
                <w:lang w:eastAsia="fr-FR"/>
              </w:rPr>
              <w:t>9 645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D51848A" w14:textId="77777777" w:rsidR="000B3DD8" w:rsidRPr="00713EC6" w:rsidRDefault="000B3DD8" w:rsidP="00A51E14">
            <w:pPr>
              <w:spacing w:after="0" w:line="240" w:lineRule="auto"/>
              <w:jc w:val="center"/>
              <w:rPr>
                <w:rFonts w:ascii="Calibri" w:eastAsia="Times New Roman" w:hAnsi="Calibri" w:cs="Calibri"/>
                <w:b/>
                <w:bCs/>
                <w:color w:val="000000"/>
                <w:sz w:val="21"/>
                <w:szCs w:val="21"/>
                <w:lang w:eastAsia="fr-FR"/>
              </w:rPr>
            </w:pPr>
            <w:r w:rsidRPr="00713EC6">
              <w:rPr>
                <w:rFonts w:ascii="Calibri" w:eastAsia="Times New Roman" w:hAnsi="Calibri" w:cs="Calibri"/>
                <w:b/>
                <w:bCs/>
                <w:color w:val="000000"/>
                <w:sz w:val="21"/>
                <w:szCs w:val="21"/>
                <w:lang w:eastAsia="fr-FR"/>
              </w:rPr>
              <w:t>8 824</w:t>
            </w:r>
          </w:p>
        </w:tc>
        <w:tc>
          <w:tcPr>
            <w:tcW w:w="851" w:type="dxa"/>
            <w:tcBorders>
              <w:top w:val="single" w:sz="4" w:space="0" w:color="auto"/>
              <w:left w:val="nil"/>
              <w:bottom w:val="single" w:sz="4" w:space="0" w:color="auto"/>
              <w:right w:val="single" w:sz="4" w:space="0" w:color="auto"/>
            </w:tcBorders>
            <w:shd w:val="clear" w:color="000000" w:fill="FDE9D9"/>
            <w:noWrap/>
            <w:vAlign w:val="bottom"/>
            <w:hideMark/>
          </w:tcPr>
          <w:p w14:paraId="4B567C6C" w14:textId="77777777" w:rsidR="000B3DD8" w:rsidRPr="00713EC6" w:rsidRDefault="000B3DD8" w:rsidP="00A51E14">
            <w:pPr>
              <w:spacing w:after="0" w:line="240" w:lineRule="auto"/>
              <w:jc w:val="center"/>
              <w:rPr>
                <w:rFonts w:ascii="Calibri" w:eastAsia="Times New Roman" w:hAnsi="Calibri" w:cs="Calibri"/>
                <w:b/>
                <w:bCs/>
                <w:color w:val="000000"/>
                <w:sz w:val="21"/>
                <w:szCs w:val="21"/>
                <w:lang w:eastAsia="fr-FR"/>
              </w:rPr>
            </w:pPr>
            <w:r w:rsidRPr="00713EC6">
              <w:rPr>
                <w:rFonts w:ascii="Calibri" w:eastAsia="Times New Roman" w:hAnsi="Calibri" w:cs="Calibri"/>
                <w:b/>
                <w:bCs/>
                <w:color w:val="000000"/>
                <w:sz w:val="21"/>
                <w:szCs w:val="21"/>
                <w:lang w:eastAsia="fr-FR"/>
              </w:rPr>
              <w:t>3 611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FF0105A" w14:textId="77777777" w:rsidR="000B3DD8" w:rsidRPr="00713EC6" w:rsidRDefault="000B3DD8" w:rsidP="00A51E14">
            <w:pPr>
              <w:spacing w:after="0" w:line="240" w:lineRule="auto"/>
              <w:jc w:val="center"/>
              <w:rPr>
                <w:rFonts w:ascii="Calibri" w:eastAsia="Times New Roman" w:hAnsi="Calibri" w:cs="Calibri"/>
                <w:b/>
                <w:bCs/>
                <w:color w:val="000000"/>
                <w:sz w:val="21"/>
                <w:szCs w:val="21"/>
                <w:lang w:eastAsia="fr-FR"/>
              </w:rPr>
            </w:pPr>
            <w:r w:rsidRPr="00713EC6">
              <w:rPr>
                <w:rFonts w:ascii="Calibri" w:eastAsia="Times New Roman" w:hAnsi="Calibri" w:cs="Calibri"/>
                <w:b/>
                <w:bCs/>
                <w:color w:val="000000"/>
                <w:sz w:val="21"/>
                <w:szCs w:val="21"/>
                <w:lang w:eastAsia="fr-FR"/>
              </w:rPr>
              <w:t>2 442</w:t>
            </w:r>
          </w:p>
        </w:tc>
        <w:tc>
          <w:tcPr>
            <w:tcW w:w="851" w:type="dxa"/>
            <w:tcBorders>
              <w:top w:val="single" w:sz="4" w:space="0" w:color="auto"/>
              <w:left w:val="nil"/>
              <w:bottom w:val="single" w:sz="4" w:space="0" w:color="auto"/>
              <w:right w:val="single" w:sz="4" w:space="0" w:color="auto"/>
            </w:tcBorders>
            <w:shd w:val="clear" w:color="000000" w:fill="FDE9D9"/>
            <w:noWrap/>
            <w:vAlign w:val="bottom"/>
            <w:hideMark/>
          </w:tcPr>
          <w:p w14:paraId="47B033B9" w14:textId="77777777" w:rsidR="000B3DD8" w:rsidRPr="00713EC6" w:rsidRDefault="000B3DD8" w:rsidP="00A51E14">
            <w:pPr>
              <w:spacing w:after="0" w:line="240" w:lineRule="auto"/>
              <w:jc w:val="center"/>
              <w:rPr>
                <w:rFonts w:ascii="Calibri" w:eastAsia="Times New Roman" w:hAnsi="Calibri" w:cs="Calibri"/>
                <w:b/>
                <w:bCs/>
                <w:color w:val="000000"/>
                <w:sz w:val="21"/>
                <w:szCs w:val="21"/>
                <w:lang w:eastAsia="fr-FR"/>
              </w:rPr>
            </w:pPr>
            <w:r w:rsidRPr="00713EC6">
              <w:rPr>
                <w:rFonts w:ascii="Calibri" w:eastAsia="Times New Roman" w:hAnsi="Calibri" w:cs="Calibri"/>
                <w:b/>
                <w:bCs/>
                <w:color w:val="000000"/>
                <w:sz w:val="21"/>
                <w:szCs w:val="21"/>
                <w:lang w:eastAsia="fr-FR"/>
              </w:rPr>
              <w:t>2 030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DBD10AE" w14:textId="77777777" w:rsidR="000B3DD8" w:rsidRPr="00713EC6" w:rsidRDefault="000B3DD8" w:rsidP="00A51E14">
            <w:pPr>
              <w:spacing w:after="0" w:line="240" w:lineRule="auto"/>
              <w:jc w:val="center"/>
              <w:rPr>
                <w:rFonts w:ascii="Calibri" w:eastAsia="Times New Roman" w:hAnsi="Calibri" w:cs="Calibri"/>
                <w:b/>
                <w:bCs/>
                <w:color w:val="000000"/>
                <w:sz w:val="21"/>
                <w:szCs w:val="21"/>
                <w:lang w:eastAsia="fr-FR"/>
              </w:rPr>
            </w:pPr>
            <w:r w:rsidRPr="00713EC6">
              <w:rPr>
                <w:rFonts w:ascii="Calibri" w:eastAsia="Times New Roman" w:hAnsi="Calibri" w:cs="Calibri"/>
                <w:b/>
                <w:bCs/>
                <w:color w:val="000000"/>
                <w:sz w:val="21"/>
                <w:szCs w:val="21"/>
                <w:lang w:eastAsia="fr-FR"/>
              </w:rPr>
              <w:t>1 112</w:t>
            </w:r>
          </w:p>
        </w:tc>
      </w:tr>
    </w:tbl>
    <w:p w14:paraId="4E1B27F6" w14:textId="77777777" w:rsidR="000B3DD8" w:rsidRDefault="000B3DD8" w:rsidP="000B3DD8">
      <w:pPr>
        <w:jc w:val="both"/>
        <w:rPr>
          <w:rFonts w:ascii="Arial Narrow" w:hAnsi="Arial Narrow" w:cs="Times New Roman"/>
        </w:rPr>
      </w:pPr>
    </w:p>
    <w:p w14:paraId="02D8F47E" w14:textId="77777777" w:rsidR="000B3DD8" w:rsidRDefault="000B3DD8" w:rsidP="000B3DD8">
      <w:pPr>
        <w:jc w:val="both"/>
        <w:rPr>
          <w:rFonts w:ascii="Arial Narrow" w:hAnsi="Arial Narrow" w:cs="Times New Roman"/>
        </w:rPr>
      </w:pPr>
      <w:r w:rsidRPr="00B743E7">
        <w:rPr>
          <w:rFonts w:ascii="Arial Narrow" w:hAnsi="Arial Narrow" w:cs="Times New Roman"/>
          <w:b/>
          <w:bCs/>
        </w:rPr>
        <w:t>Tableau No 2</w:t>
      </w:r>
      <w:r>
        <w:rPr>
          <w:rFonts w:ascii="Arial Narrow" w:hAnsi="Arial Narrow" w:cs="Times New Roman"/>
        </w:rPr>
        <w:t> : Résultats des activités communautaires Quartier Kirikilan 2019 communautaire</w:t>
      </w:r>
    </w:p>
    <w:tbl>
      <w:tblPr>
        <w:tblStyle w:val="Grilledutableau"/>
        <w:tblW w:w="9209" w:type="dxa"/>
        <w:tblLook w:val="04A0" w:firstRow="1" w:lastRow="0" w:firstColumn="1" w:lastColumn="0" w:noHBand="0" w:noVBand="1"/>
      </w:tblPr>
      <w:tblGrid>
        <w:gridCol w:w="2660"/>
        <w:gridCol w:w="1021"/>
        <w:gridCol w:w="850"/>
        <w:gridCol w:w="851"/>
        <w:gridCol w:w="850"/>
        <w:gridCol w:w="1134"/>
        <w:gridCol w:w="1843"/>
      </w:tblGrid>
      <w:tr w:rsidR="000B3DD8" w:rsidRPr="00C45C9D" w14:paraId="1AC736D0" w14:textId="77777777" w:rsidTr="00A51E14">
        <w:trPr>
          <w:trHeight w:val="330"/>
        </w:trPr>
        <w:tc>
          <w:tcPr>
            <w:tcW w:w="9209" w:type="dxa"/>
            <w:gridSpan w:val="7"/>
            <w:tcBorders>
              <w:bottom w:val="single" w:sz="4" w:space="0" w:color="auto"/>
            </w:tcBorders>
            <w:shd w:val="clear" w:color="auto" w:fill="F7CAAC" w:themeFill="accent2" w:themeFillTint="66"/>
            <w:hideMark/>
          </w:tcPr>
          <w:p w14:paraId="58283D5E" w14:textId="77777777" w:rsidR="000B3DD8" w:rsidRPr="00C45C9D" w:rsidRDefault="000B3DD8" w:rsidP="00A51E14">
            <w:pPr>
              <w:jc w:val="center"/>
              <w:rPr>
                <w:rFonts w:ascii="Arial Narrow" w:hAnsi="Arial Narrow"/>
                <w:b/>
                <w:bCs/>
              </w:rPr>
            </w:pPr>
            <w:r w:rsidRPr="00C45C9D">
              <w:rPr>
                <w:rFonts w:ascii="Arial Narrow" w:hAnsi="Arial Narrow"/>
                <w:b/>
                <w:bCs/>
              </w:rPr>
              <w:t>QUARTIER KIRIKILAN 2019</w:t>
            </w:r>
          </w:p>
        </w:tc>
      </w:tr>
      <w:tr w:rsidR="000B3DD8" w:rsidRPr="00C45C9D" w14:paraId="79859677" w14:textId="77777777" w:rsidTr="00A51E14">
        <w:trPr>
          <w:trHeight w:val="504"/>
        </w:trPr>
        <w:tc>
          <w:tcPr>
            <w:tcW w:w="2660" w:type="dxa"/>
            <w:shd w:val="clear" w:color="auto" w:fill="FFF2CC" w:themeFill="accent4" w:themeFillTint="33"/>
            <w:noWrap/>
            <w:hideMark/>
          </w:tcPr>
          <w:p w14:paraId="678E971C" w14:textId="77777777" w:rsidR="000B3DD8" w:rsidRPr="00C45C9D" w:rsidRDefault="000B3DD8" w:rsidP="00A51E14">
            <w:pPr>
              <w:rPr>
                <w:rFonts w:ascii="Arial Narrow" w:hAnsi="Arial Narrow"/>
                <w:b/>
                <w:bCs/>
                <w:color w:val="0070C0"/>
                <w:sz w:val="21"/>
                <w:szCs w:val="21"/>
              </w:rPr>
            </w:pPr>
            <w:r w:rsidRPr="00C45C9D">
              <w:rPr>
                <w:rFonts w:ascii="Arial Narrow" w:hAnsi="Arial Narrow"/>
                <w:b/>
                <w:bCs/>
                <w:color w:val="0070C0"/>
                <w:sz w:val="21"/>
                <w:szCs w:val="21"/>
              </w:rPr>
              <w:t>SECTEURS</w:t>
            </w:r>
          </w:p>
        </w:tc>
        <w:tc>
          <w:tcPr>
            <w:tcW w:w="1021" w:type="dxa"/>
            <w:shd w:val="clear" w:color="auto" w:fill="FFF2CC" w:themeFill="accent4" w:themeFillTint="33"/>
            <w:hideMark/>
          </w:tcPr>
          <w:p w14:paraId="64480D4C" w14:textId="77777777" w:rsidR="000B3DD8" w:rsidRPr="00C45C9D" w:rsidRDefault="000B3DD8" w:rsidP="00A51E14">
            <w:pPr>
              <w:jc w:val="center"/>
              <w:rPr>
                <w:rFonts w:ascii="Arial Narrow" w:hAnsi="Arial Narrow"/>
                <w:b/>
                <w:bCs/>
                <w:color w:val="0070C0"/>
                <w:sz w:val="21"/>
                <w:szCs w:val="21"/>
              </w:rPr>
            </w:pPr>
            <w:r w:rsidRPr="00C45C9D">
              <w:rPr>
                <w:rFonts w:ascii="Arial Narrow" w:hAnsi="Arial Narrow"/>
                <w:b/>
                <w:bCs/>
                <w:color w:val="0070C0"/>
                <w:sz w:val="21"/>
                <w:szCs w:val="21"/>
              </w:rPr>
              <w:t>1</w:t>
            </w:r>
          </w:p>
        </w:tc>
        <w:tc>
          <w:tcPr>
            <w:tcW w:w="850" w:type="dxa"/>
            <w:shd w:val="clear" w:color="auto" w:fill="FFF2CC" w:themeFill="accent4" w:themeFillTint="33"/>
            <w:hideMark/>
          </w:tcPr>
          <w:p w14:paraId="3B330DAD" w14:textId="77777777" w:rsidR="000B3DD8" w:rsidRPr="00C45C9D" w:rsidRDefault="000B3DD8" w:rsidP="00A51E14">
            <w:pPr>
              <w:jc w:val="center"/>
              <w:rPr>
                <w:rFonts w:ascii="Arial Narrow" w:hAnsi="Arial Narrow"/>
                <w:b/>
                <w:bCs/>
                <w:color w:val="0070C0"/>
                <w:sz w:val="21"/>
                <w:szCs w:val="21"/>
              </w:rPr>
            </w:pPr>
            <w:r w:rsidRPr="00C45C9D">
              <w:rPr>
                <w:rFonts w:ascii="Arial Narrow" w:hAnsi="Arial Narrow"/>
                <w:b/>
                <w:bCs/>
                <w:color w:val="0070C0"/>
                <w:sz w:val="21"/>
                <w:szCs w:val="21"/>
              </w:rPr>
              <w:t>2</w:t>
            </w:r>
          </w:p>
        </w:tc>
        <w:tc>
          <w:tcPr>
            <w:tcW w:w="851" w:type="dxa"/>
            <w:shd w:val="clear" w:color="auto" w:fill="FFF2CC" w:themeFill="accent4" w:themeFillTint="33"/>
            <w:hideMark/>
          </w:tcPr>
          <w:p w14:paraId="30A0835C" w14:textId="77777777" w:rsidR="000B3DD8" w:rsidRPr="00C45C9D" w:rsidRDefault="000B3DD8" w:rsidP="00A51E14">
            <w:pPr>
              <w:jc w:val="center"/>
              <w:rPr>
                <w:rFonts w:ascii="Arial Narrow" w:hAnsi="Arial Narrow"/>
                <w:b/>
                <w:bCs/>
                <w:color w:val="0070C0"/>
                <w:sz w:val="21"/>
                <w:szCs w:val="21"/>
              </w:rPr>
            </w:pPr>
            <w:r w:rsidRPr="00C45C9D">
              <w:rPr>
                <w:rFonts w:ascii="Arial Narrow" w:hAnsi="Arial Narrow"/>
                <w:b/>
                <w:bCs/>
                <w:color w:val="0070C0"/>
                <w:sz w:val="21"/>
                <w:szCs w:val="21"/>
              </w:rPr>
              <w:t>3</w:t>
            </w:r>
          </w:p>
        </w:tc>
        <w:tc>
          <w:tcPr>
            <w:tcW w:w="850" w:type="dxa"/>
            <w:shd w:val="clear" w:color="auto" w:fill="FFF2CC" w:themeFill="accent4" w:themeFillTint="33"/>
            <w:hideMark/>
          </w:tcPr>
          <w:p w14:paraId="18DC2E46" w14:textId="77777777" w:rsidR="000B3DD8" w:rsidRPr="00C45C9D" w:rsidRDefault="000B3DD8" w:rsidP="00A51E14">
            <w:pPr>
              <w:jc w:val="center"/>
              <w:rPr>
                <w:rFonts w:ascii="Arial Narrow" w:hAnsi="Arial Narrow"/>
                <w:b/>
                <w:bCs/>
                <w:color w:val="0070C0"/>
                <w:sz w:val="21"/>
                <w:szCs w:val="21"/>
              </w:rPr>
            </w:pPr>
            <w:r w:rsidRPr="00C45C9D">
              <w:rPr>
                <w:rFonts w:ascii="Arial Narrow" w:hAnsi="Arial Narrow"/>
                <w:b/>
                <w:bCs/>
                <w:color w:val="0070C0"/>
                <w:sz w:val="21"/>
                <w:szCs w:val="21"/>
              </w:rPr>
              <w:t>4</w:t>
            </w:r>
          </w:p>
        </w:tc>
        <w:tc>
          <w:tcPr>
            <w:tcW w:w="1134" w:type="dxa"/>
            <w:shd w:val="clear" w:color="auto" w:fill="FFF2CC" w:themeFill="accent4" w:themeFillTint="33"/>
            <w:hideMark/>
          </w:tcPr>
          <w:p w14:paraId="51E802B4" w14:textId="77777777" w:rsidR="000B3DD8" w:rsidRPr="00C45C9D" w:rsidRDefault="000B3DD8" w:rsidP="00A51E14">
            <w:pPr>
              <w:jc w:val="center"/>
              <w:rPr>
                <w:rFonts w:ascii="Arial Narrow" w:hAnsi="Arial Narrow"/>
                <w:b/>
                <w:bCs/>
                <w:color w:val="0070C0"/>
                <w:sz w:val="21"/>
                <w:szCs w:val="21"/>
              </w:rPr>
            </w:pPr>
            <w:r w:rsidRPr="00C45C9D">
              <w:rPr>
                <w:rFonts w:ascii="Arial Narrow" w:hAnsi="Arial Narrow"/>
                <w:b/>
                <w:bCs/>
                <w:color w:val="0070C0"/>
                <w:sz w:val="21"/>
                <w:szCs w:val="21"/>
              </w:rPr>
              <w:t>5</w:t>
            </w:r>
          </w:p>
        </w:tc>
        <w:tc>
          <w:tcPr>
            <w:tcW w:w="1843" w:type="dxa"/>
            <w:shd w:val="clear" w:color="auto" w:fill="FFF2CC" w:themeFill="accent4" w:themeFillTint="33"/>
            <w:hideMark/>
          </w:tcPr>
          <w:p w14:paraId="4CBC93F9" w14:textId="77777777" w:rsidR="000B3DD8" w:rsidRPr="00C45C9D" w:rsidRDefault="000B3DD8" w:rsidP="00A51E14">
            <w:pPr>
              <w:rPr>
                <w:rFonts w:ascii="Arial Narrow" w:hAnsi="Arial Narrow"/>
                <w:b/>
                <w:bCs/>
                <w:color w:val="0070C0"/>
                <w:sz w:val="21"/>
                <w:szCs w:val="21"/>
              </w:rPr>
            </w:pPr>
            <w:r w:rsidRPr="00C45C9D">
              <w:rPr>
                <w:rFonts w:ascii="Arial Narrow" w:hAnsi="Arial Narrow"/>
                <w:b/>
                <w:bCs/>
                <w:color w:val="0070C0"/>
                <w:sz w:val="21"/>
                <w:szCs w:val="21"/>
              </w:rPr>
              <w:t>TOTAL QUARTIER</w:t>
            </w:r>
          </w:p>
        </w:tc>
      </w:tr>
      <w:tr w:rsidR="000B3DD8" w:rsidRPr="00713EC6" w14:paraId="5E6FA42A" w14:textId="77777777" w:rsidTr="00A51E14">
        <w:trPr>
          <w:trHeight w:val="361"/>
        </w:trPr>
        <w:tc>
          <w:tcPr>
            <w:tcW w:w="2660" w:type="dxa"/>
            <w:noWrap/>
            <w:hideMark/>
          </w:tcPr>
          <w:p w14:paraId="14EA395C" w14:textId="77777777" w:rsidR="000B3DD8" w:rsidRPr="00C45C9D" w:rsidRDefault="000B3DD8" w:rsidP="00A51E14">
            <w:pPr>
              <w:rPr>
                <w:rFonts w:ascii="Arial Narrow" w:hAnsi="Arial Narrow"/>
                <w:b/>
                <w:bCs/>
              </w:rPr>
            </w:pPr>
            <w:r w:rsidRPr="00C45C9D">
              <w:rPr>
                <w:rFonts w:ascii="Arial Narrow" w:hAnsi="Arial Narrow"/>
                <w:b/>
                <w:bCs/>
              </w:rPr>
              <w:t xml:space="preserve">Carré </w:t>
            </w:r>
          </w:p>
        </w:tc>
        <w:tc>
          <w:tcPr>
            <w:tcW w:w="1021" w:type="dxa"/>
            <w:hideMark/>
          </w:tcPr>
          <w:p w14:paraId="78A74813"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4</w:t>
            </w:r>
          </w:p>
        </w:tc>
        <w:tc>
          <w:tcPr>
            <w:tcW w:w="850" w:type="dxa"/>
            <w:hideMark/>
          </w:tcPr>
          <w:p w14:paraId="4484EFF2"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4</w:t>
            </w:r>
          </w:p>
        </w:tc>
        <w:tc>
          <w:tcPr>
            <w:tcW w:w="851" w:type="dxa"/>
            <w:hideMark/>
          </w:tcPr>
          <w:p w14:paraId="3AF5F83F"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5</w:t>
            </w:r>
          </w:p>
        </w:tc>
        <w:tc>
          <w:tcPr>
            <w:tcW w:w="850" w:type="dxa"/>
            <w:hideMark/>
          </w:tcPr>
          <w:p w14:paraId="094160DB"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4</w:t>
            </w:r>
          </w:p>
        </w:tc>
        <w:tc>
          <w:tcPr>
            <w:tcW w:w="1134" w:type="dxa"/>
            <w:hideMark/>
          </w:tcPr>
          <w:p w14:paraId="2C2D6E7A"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4</w:t>
            </w:r>
          </w:p>
        </w:tc>
        <w:tc>
          <w:tcPr>
            <w:tcW w:w="1843" w:type="dxa"/>
            <w:hideMark/>
          </w:tcPr>
          <w:p w14:paraId="65F40BA5" w14:textId="77777777" w:rsidR="000B3DD8" w:rsidRPr="00713EC6" w:rsidRDefault="000B3DD8" w:rsidP="00A51E14">
            <w:pPr>
              <w:jc w:val="center"/>
              <w:rPr>
                <w:rFonts w:ascii="Arial Narrow" w:hAnsi="Arial Narrow"/>
                <w:bCs/>
                <w:sz w:val="20"/>
                <w:szCs w:val="20"/>
              </w:rPr>
            </w:pPr>
          </w:p>
        </w:tc>
      </w:tr>
      <w:tr w:rsidR="000B3DD8" w:rsidRPr="00713EC6" w14:paraId="122D5836" w14:textId="77777777" w:rsidTr="00A51E14">
        <w:trPr>
          <w:trHeight w:val="315"/>
        </w:trPr>
        <w:tc>
          <w:tcPr>
            <w:tcW w:w="2660" w:type="dxa"/>
            <w:noWrap/>
            <w:hideMark/>
          </w:tcPr>
          <w:p w14:paraId="7BF9B652" w14:textId="77777777" w:rsidR="000B3DD8" w:rsidRPr="00C45C9D" w:rsidRDefault="000B3DD8" w:rsidP="00A51E14">
            <w:pPr>
              <w:rPr>
                <w:rFonts w:ascii="Arial Narrow" w:hAnsi="Arial Narrow"/>
                <w:b/>
                <w:bCs/>
              </w:rPr>
            </w:pPr>
            <w:r w:rsidRPr="00C45C9D">
              <w:rPr>
                <w:rFonts w:ascii="Arial Narrow" w:hAnsi="Arial Narrow"/>
                <w:b/>
                <w:bCs/>
              </w:rPr>
              <w:t>Concession</w:t>
            </w:r>
          </w:p>
        </w:tc>
        <w:tc>
          <w:tcPr>
            <w:tcW w:w="1021" w:type="dxa"/>
            <w:hideMark/>
          </w:tcPr>
          <w:p w14:paraId="35D46A8A" w14:textId="77777777" w:rsidR="000B3DD8" w:rsidRPr="00713EC6" w:rsidRDefault="000B3DD8" w:rsidP="00A51E14">
            <w:pPr>
              <w:jc w:val="center"/>
              <w:rPr>
                <w:rFonts w:ascii="Arial Narrow" w:hAnsi="Arial Narrow"/>
                <w:sz w:val="20"/>
                <w:szCs w:val="20"/>
              </w:rPr>
            </w:pPr>
            <w:r w:rsidRPr="00713EC6">
              <w:rPr>
                <w:rFonts w:ascii="Arial Narrow" w:hAnsi="Arial Narrow"/>
                <w:sz w:val="20"/>
                <w:szCs w:val="20"/>
              </w:rPr>
              <w:t>443</w:t>
            </w:r>
          </w:p>
        </w:tc>
        <w:tc>
          <w:tcPr>
            <w:tcW w:w="850" w:type="dxa"/>
            <w:hideMark/>
          </w:tcPr>
          <w:p w14:paraId="310808A0"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199</w:t>
            </w:r>
          </w:p>
        </w:tc>
        <w:tc>
          <w:tcPr>
            <w:tcW w:w="851" w:type="dxa"/>
            <w:hideMark/>
          </w:tcPr>
          <w:p w14:paraId="1C3FA976"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271</w:t>
            </w:r>
          </w:p>
        </w:tc>
        <w:tc>
          <w:tcPr>
            <w:tcW w:w="850" w:type="dxa"/>
            <w:hideMark/>
          </w:tcPr>
          <w:p w14:paraId="5154C458"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184</w:t>
            </w:r>
          </w:p>
        </w:tc>
        <w:tc>
          <w:tcPr>
            <w:tcW w:w="1134" w:type="dxa"/>
            <w:hideMark/>
          </w:tcPr>
          <w:p w14:paraId="3BFD51D0"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292</w:t>
            </w:r>
          </w:p>
        </w:tc>
        <w:tc>
          <w:tcPr>
            <w:tcW w:w="1843" w:type="dxa"/>
            <w:hideMark/>
          </w:tcPr>
          <w:p w14:paraId="00387D58"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1 389</w:t>
            </w:r>
          </w:p>
        </w:tc>
      </w:tr>
      <w:tr w:rsidR="000B3DD8" w:rsidRPr="00713EC6" w14:paraId="3CDADF34" w14:textId="77777777" w:rsidTr="00A51E14">
        <w:trPr>
          <w:trHeight w:val="315"/>
        </w:trPr>
        <w:tc>
          <w:tcPr>
            <w:tcW w:w="2660" w:type="dxa"/>
            <w:noWrap/>
            <w:hideMark/>
          </w:tcPr>
          <w:p w14:paraId="709DCEC8" w14:textId="77777777" w:rsidR="000B3DD8" w:rsidRPr="00C45C9D" w:rsidRDefault="000B3DD8" w:rsidP="00A51E14">
            <w:pPr>
              <w:rPr>
                <w:rFonts w:ascii="Arial Narrow" w:hAnsi="Arial Narrow"/>
                <w:b/>
                <w:bCs/>
              </w:rPr>
            </w:pPr>
            <w:r w:rsidRPr="00C45C9D">
              <w:rPr>
                <w:rFonts w:ascii="Arial Narrow" w:hAnsi="Arial Narrow"/>
                <w:b/>
                <w:bCs/>
              </w:rPr>
              <w:t>Ménage</w:t>
            </w:r>
          </w:p>
        </w:tc>
        <w:tc>
          <w:tcPr>
            <w:tcW w:w="1021" w:type="dxa"/>
            <w:hideMark/>
          </w:tcPr>
          <w:p w14:paraId="7112BB95" w14:textId="77777777" w:rsidR="000B3DD8" w:rsidRPr="00713EC6" w:rsidRDefault="000B3DD8" w:rsidP="00A51E14">
            <w:pPr>
              <w:jc w:val="center"/>
              <w:rPr>
                <w:rFonts w:ascii="Arial Narrow" w:hAnsi="Arial Narrow"/>
                <w:sz w:val="20"/>
                <w:szCs w:val="20"/>
              </w:rPr>
            </w:pPr>
            <w:r w:rsidRPr="00713EC6">
              <w:rPr>
                <w:rFonts w:ascii="Arial Narrow" w:hAnsi="Arial Narrow"/>
                <w:sz w:val="20"/>
                <w:szCs w:val="20"/>
              </w:rPr>
              <w:t>630</w:t>
            </w:r>
          </w:p>
        </w:tc>
        <w:tc>
          <w:tcPr>
            <w:tcW w:w="850" w:type="dxa"/>
            <w:hideMark/>
          </w:tcPr>
          <w:p w14:paraId="76B328F4"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346</w:t>
            </w:r>
          </w:p>
        </w:tc>
        <w:tc>
          <w:tcPr>
            <w:tcW w:w="851" w:type="dxa"/>
            <w:hideMark/>
          </w:tcPr>
          <w:p w14:paraId="52371326"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491</w:t>
            </w:r>
          </w:p>
        </w:tc>
        <w:tc>
          <w:tcPr>
            <w:tcW w:w="850" w:type="dxa"/>
            <w:hideMark/>
          </w:tcPr>
          <w:p w14:paraId="25E6720C" w14:textId="77777777" w:rsidR="000B3DD8" w:rsidRPr="00713EC6" w:rsidRDefault="000B3DD8" w:rsidP="00A51E14">
            <w:pPr>
              <w:jc w:val="center"/>
              <w:rPr>
                <w:rFonts w:ascii="Arial Narrow" w:hAnsi="Arial Narrow"/>
                <w:sz w:val="20"/>
                <w:szCs w:val="20"/>
              </w:rPr>
            </w:pPr>
            <w:r w:rsidRPr="00713EC6">
              <w:rPr>
                <w:rFonts w:ascii="Arial Narrow" w:hAnsi="Arial Narrow"/>
                <w:sz w:val="20"/>
                <w:szCs w:val="20"/>
              </w:rPr>
              <w:t>261</w:t>
            </w:r>
          </w:p>
        </w:tc>
        <w:tc>
          <w:tcPr>
            <w:tcW w:w="1134" w:type="dxa"/>
            <w:hideMark/>
          </w:tcPr>
          <w:p w14:paraId="14B1F6A7"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326</w:t>
            </w:r>
          </w:p>
        </w:tc>
        <w:tc>
          <w:tcPr>
            <w:tcW w:w="1843" w:type="dxa"/>
            <w:hideMark/>
          </w:tcPr>
          <w:p w14:paraId="0A50124E"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2 054</w:t>
            </w:r>
          </w:p>
        </w:tc>
      </w:tr>
      <w:tr w:rsidR="000B3DD8" w:rsidRPr="00713EC6" w14:paraId="2935338D" w14:textId="77777777" w:rsidTr="00A51E14">
        <w:trPr>
          <w:trHeight w:val="315"/>
        </w:trPr>
        <w:tc>
          <w:tcPr>
            <w:tcW w:w="2660" w:type="dxa"/>
            <w:noWrap/>
            <w:hideMark/>
          </w:tcPr>
          <w:p w14:paraId="33B18F74" w14:textId="77777777" w:rsidR="000B3DD8" w:rsidRPr="00C45C9D" w:rsidRDefault="000B3DD8" w:rsidP="00A51E14">
            <w:pPr>
              <w:rPr>
                <w:rFonts w:ascii="Arial Narrow" w:hAnsi="Arial Narrow"/>
                <w:b/>
                <w:bCs/>
              </w:rPr>
            </w:pPr>
            <w:r w:rsidRPr="00C45C9D">
              <w:rPr>
                <w:rFonts w:ascii="Arial Narrow" w:hAnsi="Arial Narrow"/>
                <w:b/>
                <w:bCs/>
              </w:rPr>
              <w:t>Population totale</w:t>
            </w:r>
          </w:p>
        </w:tc>
        <w:tc>
          <w:tcPr>
            <w:tcW w:w="1021" w:type="dxa"/>
            <w:hideMark/>
          </w:tcPr>
          <w:p w14:paraId="3DD92C82" w14:textId="77777777" w:rsidR="000B3DD8" w:rsidRPr="00713EC6" w:rsidRDefault="000B3DD8" w:rsidP="00A51E14">
            <w:pPr>
              <w:jc w:val="center"/>
              <w:rPr>
                <w:rFonts w:ascii="Arial Narrow" w:hAnsi="Arial Narrow"/>
                <w:sz w:val="20"/>
                <w:szCs w:val="20"/>
              </w:rPr>
            </w:pPr>
            <w:r w:rsidRPr="00713EC6">
              <w:rPr>
                <w:rFonts w:ascii="Arial Narrow" w:hAnsi="Arial Narrow"/>
                <w:sz w:val="20"/>
                <w:szCs w:val="20"/>
              </w:rPr>
              <w:t>2 160</w:t>
            </w:r>
          </w:p>
        </w:tc>
        <w:tc>
          <w:tcPr>
            <w:tcW w:w="850" w:type="dxa"/>
            <w:hideMark/>
          </w:tcPr>
          <w:p w14:paraId="4F8D491F"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2 228</w:t>
            </w:r>
          </w:p>
        </w:tc>
        <w:tc>
          <w:tcPr>
            <w:tcW w:w="851" w:type="dxa"/>
            <w:hideMark/>
          </w:tcPr>
          <w:p w14:paraId="7A3B188E"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2 850</w:t>
            </w:r>
          </w:p>
        </w:tc>
        <w:tc>
          <w:tcPr>
            <w:tcW w:w="850" w:type="dxa"/>
            <w:hideMark/>
          </w:tcPr>
          <w:p w14:paraId="4829E7D0"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1 190</w:t>
            </w:r>
          </w:p>
        </w:tc>
        <w:tc>
          <w:tcPr>
            <w:tcW w:w="1134" w:type="dxa"/>
            <w:hideMark/>
          </w:tcPr>
          <w:p w14:paraId="0AAEE384"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1 214</w:t>
            </w:r>
          </w:p>
        </w:tc>
        <w:tc>
          <w:tcPr>
            <w:tcW w:w="1843" w:type="dxa"/>
            <w:hideMark/>
          </w:tcPr>
          <w:p w14:paraId="725B0755"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9 642</w:t>
            </w:r>
          </w:p>
        </w:tc>
      </w:tr>
      <w:tr w:rsidR="000B3DD8" w:rsidRPr="00713EC6" w14:paraId="1F4D956A" w14:textId="77777777" w:rsidTr="00A51E14">
        <w:trPr>
          <w:trHeight w:val="315"/>
        </w:trPr>
        <w:tc>
          <w:tcPr>
            <w:tcW w:w="2660" w:type="dxa"/>
            <w:noWrap/>
            <w:hideMark/>
          </w:tcPr>
          <w:p w14:paraId="790782CF" w14:textId="77777777" w:rsidR="000B3DD8" w:rsidRPr="00C45C9D" w:rsidRDefault="000B3DD8" w:rsidP="00A51E14">
            <w:pPr>
              <w:rPr>
                <w:rFonts w:ascii="Arial Narrow" w:hAnsi="Arial Narrow"/>
                <w:b/>
                <w:bCs/>
              </w:rPr>
            </w:pPr>
            <w:r w:rsidRPr="00C45C9D">
              <w:rPr>
                <w:rFonts w:ascii="Arial Narrow" w:hAnsi="Arial Narrow"/>
                <w:b/>
                <w:bCs/>
              </w:rPr>
              <w:t>Femme en Age de Procréer</w:t>
            </w:r>
          </w:p>
        </w:tc>
        <w:tc>
          <w:tcPr>
            <w:tcW w:w="1021" w:type="dxa"/>
            <w:hideMark/>
          </w:tcPr>
          <w:p w14:paraId="30323031" w14:textId="77777777" w:rsidR="000B3DD8" w:rsidRPr="00713EC6" w:rsidRDefault="000B3DD8" w:rsidP="00A51E14">
            <w:pPr>
              <w:jc w:val="center"/>
              <w:rPr>
                <w:rFonts w:ascii="Arial Narrow" w:hAnsi="Arial Narrow"/>
                <w:sz w:val="20"/>
                <w:szCs w:val="20"/>
              </w:rPr>
            </w:pPr>
            <w:r w:rsidRPr="00713EC6">
              <w:rPr>
                <w:rFonts w:ascii="Arial Narrow" w:hAnsi="Arial Narrow"/>
                <w:sz w:val="20"/>
                <w:szCs w:val="20"/>
              </w:rPr>
              <w:t>869</w:t>
            </w:r>
          </w:p>
        </w:tc>
        <w:tc>
          <w:tcPr>
            <w:tcW w:w="850" w:type="dxa"/>
            <w:hideMark/>
          </w:tcPr>
          <w:p w14:paraId="106F9E59"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586</w:t>
            </w:r>
          </w:p>
        </w:tc>
        <w:tc>
          <w:tcPr>
            <w:tcW w:w="851" w:type="dxa"/>
            <w:hideMark/>
          </w:tcPr>
          <w:p w14:paraId="251A67F1"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1 052</w:t>
            </w:r>
          </w:p>
        </w:tc>
        <w:tc>
          <w:tcPr>
            <w:tcW w:w="850" w:type="dxa"/>
            <w:hideMark/>
          </w:tcPr>
          <w:p w14:paraId="01125774"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487</w:t>
            </w:r>
          </w:p>
        </w:tc>
        <w:tc>
          <w:tcPr>
            <w:tcW w:w="1134" w:type="dxa"/>
            <w:hideMark/>
          </w:tcPr>
          <w:p w14:paraId="37B1BAE2"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617</w:t>
            </w:r>
          </w:p>
        </w:tc>
        <w:tc>
          <w:tcPr>
            <w:tcW w:w="1843" w:type="dxa"/>
            <w:hideMark/>
          </w:tcPr>
          <w:p w14:paraId="385B3D5B"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3 611</w:t>
            </w:r>
          </w:p>
        </w:tc>
      </w:tr>
      <w:tr w:rsidR="000B3DD8" w:rsidRPr="00713EC6" w14:paraId="6FA75B58" w14:textId="77777777" w:rsidTr="00A51E14">
        <w:trPr>
          <w:trHeight w:val="315"/>
        </w:trPr>
        <w:tc>
          <w:tcPr>
            <w:tcW w:w="2660" w:type="dxa"/>
            <w:noWrap/>
            <w:hideMark/>
          </w:tcPr>
          <w:p w14:paraId="7E69D6AD" w14:textId="77777777" w:rsidR="000B3DD8" w:rsidRPr="00C45C9D" w:rsidRDefault="000B3DD8" w:rsidP="00A51E14">
            <w:pPr>
              <w:rPr>
                <w:rFonts w:ascii="Arial Narrow" w:hAnsi="Arial Narrow"/>
                <w:b/>
                <w:bCs/>
              </w:rPr>
            </w:pPr>
            <w:r w:rsidRPr="00C45C9D">
              <w:rPr>
                <w:rFonts w:ascii="Arial Narrow" w:hAnsi="Arial Narrow"/>
                <w:b/>
                <w:bCs/>
              </w:rPr>
              <w:t>Enfant Moins de 5 ans</w:t>
            </w:r>
          </w:p>
        </w:tc>
        <w:tc>
          <w:tcPr>
            <w:tcW w:w="1021" w:type="dxa"/>
            <w:hideMark/>
          </w:tcPr>
          <w:p w14:paraId="3D5D9C84" w14:textId="77777777" w:rsidR="000B3DD8" w:rsidRPr="00713EC6" w:rsidRDefault="000B3DD8" w:rsidP="00A51E14">
            <w:pPr>
              <w:jc w:val="center"/>
              <w:rPr>
                <w:rFonts w:ascii="Arial Narrow" w:hAnsi="Arial Narrow"/>
                <w:sz w:val="20"/>
                <w:szCs w:val="20"/>
              </w:rPr>
            </w:pPr>
            <w:r w:rsidRPr="00713EC6">
              <w:rPr>
                <w:rFonts w:ascii="Arial Narrow" w:hAnsi="Arial Narrow"/>
                <w:sz w:val="20"/>
                <w:szCs w:val="20"/>
              </w:rPr>
              <w:t>494</w:t>
            </w:r>
          </w:p>
        </w:tc>
        <w:tc>
          <w:tcPr>
            <w:tcW w:w="850" w:type="dxa"/>
            <w:hideMark/>
          </w:tcPr>
          <w:p w14:paraId="4B4A3C8F"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311</w:t>
            </w:r>
          </w:p>
        </w:tc>
        <w:tc>
          <w:tcPr>
            <w:tcW w:w="851" w:type="dxa"/>
            <w:hideMark/>
          </w:tcPr>
          <w:p w14:paraId="7A021429"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503</w:t>
            </w:r>
          </w:p>
        </w:tc>
        <w:tc>
          <w:tcPr>
            <w:tcW w:w="850" w:type="dxa"/>
            <w:hideMark/>
          </w:tcPr>
          <w:p w14:paraId="3CCC5D69"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220</w:t>
            </w:r>
          </w:p>
        </w:tc>
        <w:tc>
          <w:tcPr>
            <w:tcW w:w="1134" w:type="dxa"/>
            <w:hideMark/>
          </w:tcPr>
          <w:p w14:paraId="07284A02"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504</w:t>
            </w:r>
          </w:p>
        </w:tc>
        <w:tc>
          <w:tcPr>
            <w:tcW w:w="1843" w:type="dxa"/>
            <w:hideMark/>
          </w:tcPr>
          <w:p w14:paraId="2FABDF6E"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2 032</w:t>
            </w:r>
          </w:p>
        </w:tc>
      </w:tr>
      <w:tr w:rsidR="000B3DD8" w:rsidRPr="00713EC6" w14:paraId="44A18854" w14:textId="77777777" w:rsidTr="00A51E14">
        <w:trPr>
          <w:trHeight w:val="315"/>
        </w:trPr>
        <w:tc>
          <w:tcPr>
            <w:tcW w:w="2660" w:type="dxa"/>
            <w:noWrap/>
            <w:hideMark/>
          </w:tcPr>
          <w:p w14:paraId="02683DC0" w14:textId="77777777" w:rsidR="000B3DD8" w:rsidRPr="00C45C9D" w:rsidRDefault="000B3DD8" w:rsidP="00A51E14">
            <w:pPr>
              <w:rPr>
                <w:rFonts w:ascii="Arial Narrow" w:hAnsi="Arial Narrow"/>
                <w:b/>
                <w:bCs/>
              </w:rPr>
            </w:pPr>
            <w:r w:rsidRPr="00C45C9D">
              <w:rPr>
                <w:rFonts w:ascii="Arial Narrow" w:hAnsi="Arial Narrow"/>
                <w:b/>
                <w:bCs/>
              </w:rPr>
              <w:t>Femme Enceinte</w:t>
            </w:r>
          </w:p>
        </w:tc>
        <w:tc>
          <w:tcPr>
            <w:tcW w:w="1021" w:type="dxa"/>
            <w:hideMark/>
          </w:tcPr>
          <w:p w14:paraId="7415AF1C" w14:textId="77777777" w:rsidR="000B3DD8" w:rsidRPr="00713EC6" w:rsidRDefault="000B3DD8" w:rsidP="00A51E14">
            <w:pPr>
              <w:jc w:val="center"/>
              <w:rPr>
                <w:rFonts w:ascii="Arial Narrow" w:hAnsi="Arial Narrow"/>
                <w:sz w:val="20"/>
                <w:szCs w:val="20"/>
              </w:rPr>
            </w:pPr>
            <w:r w:rsidRPr="00713EC6">
              <w:rPr>
                <w:rFonts w:ascii="Arial Narrow" w:hAnsi="Arial Narrow"/>
                <w:sz w:val="20"/>
                <w:szCs w:val="20"/>
              </w:rPr>
              <w:t>21</w:t>
            </w:r>
          </w:p>
        </w:tc>
        <w:tc>
          <w:tcPr>
            <w:tcW w:w="850" w:type="dxa"/>
            <w:hideMark/>
          </w:tcPr>
          <w:p w14:paraId="7EEBC67F"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16</w:t>
            </w:r>
          </w:p>
        </w:tc>
        <w:tc>
          <w:tcPr>
            <w:tcW w:w="851" w:type="dxa"/>
            <w:hideMark/>
          </w:tcPr>
          <w:p w14:paraId="362AFAB0"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20</w:t>
            </w:r>
          </w:p>
        </w:tc>
        <w:tc>
          <w:tcPr>
            <w:tcW w:w="850" w:type="dxa"/>
            <w:hideMark/>
          </w:tcPr>
          <w:p w14:paraId="29DFF1DA"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10</w:t>
            </w:r>
          </w:p>
        </w:tc>
        <w:tc>
          <w:tcPr>
            <w:tcW w:w="1134" w:type="dxa"/>
            <w:hideMark/>
          </w:tcPr>
          <w:p w14:paraId="0F4E0FB7"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26</w:t>
            </w:r>
          </w:p>
        </w:tc>
        <w:tc>
          <w:tcPr>
            <w:tcW w:w="1843" w:type="dxa"/>
            <w:hideMark/>
          </w:tcPr>
          <w:p w14:paraId="40BD98F3"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93</w:t>
            </w:r>
          </w:p>
        </w:tc>
      </w:tr>
      <w:tr w:rsidR="000B3DD8" w:rsidRPr="00713EC6" w14:paraId="23E77457" w14:textId="77777777" w:rsidTr="00A51E14">
        <w:trPr>
          <w:trHeight w:val="315"/>
        </w:trPr>
        <w:tc>
          <w:tcPr>
            <w:tcW w:w="2660" w:type="dxa"/>
            <w:noWrap/>
            <w:hideMark/>
          </w:tcPr>
          <w:p w14:paraId="03F7E77F" w14:textId="77777777" w:rsidR="000B3DD8" w:rsidRPr="00C45C9D" w:rsidRDefault="000B3DD8" w:rsidP="00A51E14">
            <w:pPr>
              <w:rPr>
                <w:rFonts w:ascii="Arial Narrow" w:hAnsi="Arial Narrow"/>
                <w:b/>
                <w:bCs/>
              </w:rPr>
            </w:pPr>
            <w:r w:rsidRPr="00C45C9D">
              <w:rPr>
                <w:rFonts w:ascii="Arial Narrow" w:hAnsi="Arial Narrow"/>
                <w:b/>
                <w:bCs/>
              </w:rPr>
              <w:t xml:space="preserve">Décès Maternels </w:t>
            </w:r>
          </w:p>
        </w:tc>
        <w:tc>
          <w:tcPr>
            <w:tcW w:w="1021" w:type="dxa"/>
            <w:hideMark/>
          </w:tcPr>
          <w:p w14:paraId="5878929B" w14:textId="77777777" w:rsidR="000B3DD8" w:rsidRPr="00713EC6" w:rsidRDefault="000B3DD8" w:rsidP="00A51E14">
            <w:pPr>
              <w:jc w:val="center"/>
              <w:rPr>
                <w:rFonts w:ascii="Arial Narrow" w:hAnsi="Arial Narrow"/>
                <w:sz w:val="20"/>
                <w:szCs w:val="20"/>
              </w:rPr>
            </w:pPr>
            <w:r w:rsidRPr="00713EC6">
              <w:rPr>
                <w:rFonts w:ascii="Arial Narrow" w:hAnsi="Arial Narrow"/>
                <w:sz w:val="20"/>
                <w:szCs w:val="20"/>
              </w:rPr>
              <w:t>0</w:t>
            </w:r>
          </w:p>
        </w:tc>
        <w:tc>
          <w:tcPr>
            <w:tcW w:w="850" w:type="dxa"/>
            <w:hideMark/>
          </w:tcPr>
          <w:p w14:paraId="249D293D"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0</w:t>
            </w:r>
          </w:p>
        </w:tc>
        <w:tc>
          <w:tcPr>
            <w:tcW w:w="851" w:type="dxa"/>
            <w:hideMark/>
          </w:tcPr>
          <w:p w14:paraId="3C43D656"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1</w:t>
            </w:r>
          </w:p>
        </w:tc>
        <w:tc>
          <w:tcPr>
            <w:tcW w:w="850" w:type="dxa"/>
            <w:hideMark/>
          </w:tcPr>
          <w:p w14:paraId="11827E88"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0</w:t>
            </w:r>
          </w:p>
        </w:tc>
        <w:tc>
          <w:tcPr>
            <w:tcW w:w="1134" w:type="dxa"/>
            <w:hideMark/>
          </w:tcPr>
          <w:p w14:paraId="563CE05A"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0</w:t>
            </w:r>
          </w:p>
        </w:tc>
        <w:tc>
          <w:tcPr>
            <w:tcW w:w="1843" w:type="dxa"/>
            <w:hideMark/>
          </w:tcPr>
          <w:p w14:paraId="7877B854"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1</w:t>
            </w:r>
          </w:p>
        </w:tc>
      </w:tr>
      <w:tr w:rsidR="000B3DD8" w:rsidRPr="00713EC6" w14:paraId="3D720A49" w14:textId="77777777" w:rsidTr="00A51E14">
        <w:trPr>
          <w:trHeight w:val="315"/>
        </w:trPr>
        <w:tc>
          <w:tcPr>
            <w:tcW w:w="2660" w:type="dxa"/>
            <w:noWrap/>
            <w:hideMark/>
          </w:tcPr>
          <w:p w14:paraId="0166F0F8" w14:textId="77777777" w:rsidR="000B3DD8" w:rsidRPr="00C45C9D" w:rsidRDefault="000B3DD8" w:rsidP="00A51E14">
            <w:pPr>
              <w:rPr>
                <w:rFonts w:ascii="Arial Narrow" w:hAnsi="Arial Narrow"/>
                <w:b/>
                <w:bCs/>
              </w:rPr>
            </w:pPr>
            <w:r w:rsidRPr="00C45C9D">
              <w:rPr>
                <w:rFonts w:ascii="Arial Narrow" w:hAnsi="Arial Narrow"/>
                <w:b/>
                <w:bCs/>
              </w:rPr>
              <w:t xml:space="preserve">Décès Infantiles </w:t>
            </w:r>
          </w:p>
        </w:tc>
        <w:tc>
          <w:tcPr>
            <w:tcW w:w="1021" w:type="dxa"/>
            <w:hideMark/>
          </w:tcPr>
          <w:p w14:paraId="653718E2" w14:textId="77777777" w:rsidR="000B3DD8" w:rsidRPr="00713EC6" w:rsidRDefault="000B3DD8" w:rsidP="00A51E14">
            <w:pPr>
              <w:jc w:val="center"/>
              <w:rPr>
                <w:rFonts w:ascii="Arial Narrow" w:hAnsi="Arial Narrow"/>
                <w:sz w:val="20"/>
                <w:szCs w:val="20"/>
              </w:rPr>
            </w:pPr>
            <w:r w:rsidRPr="00713EC6">
              <w:rPr>
                <w:rFonts w:ascii="Arial Narrow" w:hAnsi="Arial Narrow"/>
                <w:sz w:val="20"/>
                <w:szCs w:val="20"/>
              </w:rPr>
              <w:t>2</w:t>
            </w:r>
          </w:p>
        </w:tc>
        <w:tc>
          <w:tcPr>
            <w:tcW w:w="850" w:type="dxa"/>
            <w:hideMark/>
          </w:tcPr>
          <w:p w14:paraId="0DC27830"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0</w:t>
            </w:r>
          </w:p>
        </w:tc>
        <w:tc>
          <w:tcPr>
            <w:tcW w:w="851" w:type="dxa"/>
            <w:hideMark/>
          </w:tcPr>
          <w:p w14:paraId="78897F75"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4</w:t>
            </w:r>
          </w:p>
        </w:tc>
        <w:tc>
          <w:tcPr>
            <w:tcW w:w="850" w:type="dxa"/>
            <w:hideMark/>
          </w:tcPr>
          <w:p w14:paraId="4DEBAA48"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0</w:t>
            </w:r>
          </w:p>
        </w:tc>
        <w:tc>
          <w:tcPr>
            <w:tcW w:w="1134" w:type="dxa"/>
            <w:hideMark/>
          </w:tcPr>
          <w:p w14:paraId="64F072E2"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0</w:t>
            </w:r>
          </w:p>
        </w:tc>
        <w:tc>
          <w:tcPr>
            <w:tcW w:w="1843" w:type="dxa"/>
            <w:hideMark/>
          </w:tcPr>
          <w:p w14:paraId="77742310"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6</w:t>
            </w:r>
          </w:p>
        </w:tc>
      </w:tr>
      <w:tr w:rsidR="000B3DD8" w:rsidRPr="00713EC6" w14:paraId="22D5126A" w14:textId="77777777" w:rsidTr="00A51E14">
        <w:trPr>
          <w:trHeight w:val="315"/>
        </w:trPr>
        <w:tc>
          <w:tcPr>
            <w:tcW w:w="2660" w:type="dxa"/>
            <w:noWrap/>
            <w:hideMark/>
          </w:tcPr>
          <w:p w14:paraId="5B015488" w14:textId="77777777" w:rsidR="000B3DD8" w:rsidRPr="00C45C9D" w:rsidRDefault="000B3DD8" w:rsidP="00A51E14">
            <w:pPr>
              <w:rPr>
                <w:rFonts w:ascii="Arial Narrow" w:hAnsi="Arial Narrow"/>
                <w:b/>
                <w:bCs/>
              </w:rPr>
            </w:pPr>
            <w:r w:rsidRPr="00C45C9D">
              <w:rPr>
                <w:rFonts w:ascii="Arial Narrow" w:hAnsi="Arial Narrow"/>
                <w:b/>
                <w:bCs/>
              </w:rPr>
              <w:t xml:space="preserve">Vaccination Complète </w:t>
            </w:r>
          </w:p>
        </w:tc>
        <w:tc>
          <w:tcPr>
            <w:tcW w:w="1021" w:type="dxa"/>
            <w:hideMark/>
          </w:tcPr>
          <w:p w14:paraId="5D14C038" w14:textId="77777777" w:rsidR="000B3DD8" w:rsidRPr="00713EC6" w:rsidRDefault="000B3DD8" w:rsidP="00A51E14">
            <w:pPr>
              <w:jc w:val="center"/>
              <w:rPr>
                <w:rFonts w:ascii="Arial Narrow" w:hAnsi="Arial Narrow"/>
                <w:sz w:val="20"/>
                <w:szCs w:val="20"/>
              </w:rPr>
            </w:pPr>
            <w:r w:rsidRPr="00713EC6">
              <w:rPr>
                <w:rFonts w:ascii="Arial Narrow" w:hAnsi="Arial Narrow"/>
                <w:sz w:val="20"/>
                <w:szCs w:val="20"/>
              </w:rPr>
              <w:t>350</w:t>
            </w:r>
          </w:p>
        </w:tc>
        <w:tc>
          <w:tcPr>
            <w:tcW w:w="850" w:type="dxa"/>
            <w:hideMark/>
          </w:tcPr>
          <w:p w14:paraId="001F03E2"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259</w:t>
            </w:r>
          </w:p>
        </w:tc>
        <w:tc>
          <w:tcPr>
            <w:tcW w:w="851" w:type="dxa"/>
            <w:hideMark/>
          </w:tcPr>
          <w:p w14:paraId="40E498EB"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271</w:t>
            </w:r>
          </w:p>
        </w:tc>
        <w:tc>
          <w:tcPr>
            <w:tcW w:w="850" w:type="dxa"/>
            <w:hideMark/>
          </w:tcPr>
          <w:p w14:paraId="1CCB4278"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171</w:t>
            </w:r>
          </w:p>
        </w:tc>
        <w:tc>
          <w:tcPr>
            <w:tcW w:w="1134" w:type="dxa"/>
            <w:hideMark/>
          </w:tcPr>
          <w:p w14:paraId="3CC1C851"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156</w:t>
            </w:r>
          </w:p>
        </w:tc>
        <w:tc>
          <w:tcPr>
            <w:tcW w:w="1843" w:type="dxa"/>
            <w:hideMark/>
          </w:tcPr>
          <w:p w14:paraId="712E9348"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1 207</w:t>
            </w:r>
          </w:p>
        </w:tc>
      </w:tr>
      <w:tr w:rsidR="000B3DD8" w:rsidRPr="00713EC6" w14:paraId="4D010EA0" w14:textId="77777777" w:rsidTr="00A51E14">
        <w:trPr>
          <w:trHeight w:val="315"/>
        </w:trPr>
        <w:tc>
          <w:tcPr>
            <w:tcW w:w="2660" w:type="dxa"/>
            <w:noWrap/>
            <w:hideMark/>
          </w:tcPr>
          <w:p w14:paraId="63303DA7" w14:textId="77777777" w:rsidR="000B3DD8" w:rsidRPr="00C45C9D" w:rsidRDefault="000B3DD8" w:rsidP="00A51E14">
            <w:pPr>
              <w:rPr>
                <w:rFonts w:ascii="Arial Narrow" w:hAnsi="Arial Narrow"/>
                <w:b/>
                <w:bCs/>
              </w:rPr>
            </w:pPr>
            <w:r w:rsidRPr="00C45C9D">
              <w:rPr>
                <w:rFonts w:ascii="Arial Narrow" w:hAnsi="Arial Narrow"/>
                <w:b/>
                <w:bCs/>
              </w:rPr>
              <w:t xml:space="preserve">Vaccination Incomplète </w:t>
            </w:r>
          </w:p>
        </w:tc>
        <w:tc>
          <w:tcPr>
            <w:tcW w:w="1021" w:type="dxa"/>
            <w:hideMark/>
          </w:tcPr>
          <w:p w14:paraId="4CBA2501" w14:textId="77777777" w:rsidR="000B3DD8" w:rsidRPr="00713EC6" w:rsidRDefault="000B3DD8" w:rsidP="00A51E14">
            <w:pPr>
              <w:jc w:val="center"/>
              <w:rPr>
                <w:rFonts w:ascii="Arial Narrow" w:hAnsi="Arial Narrow"/>
                <w:sz w:val="20"/>
                <w:szCs w:val="20"/>
              </w:rPr>
            </w:pPr>
            <w:r w:rsidRPr="00713EC6">
              <w:rPr>
                <w:rFonts w:ascii="Arial Narrow" w:hAnsi="Arial Narrow"/>
                <w:sz w:val="20"/>
                <w:szCs w:val="20"/>
              </w:rPr>
              <w:t>144</w:t>
            </w:r>
          </w:p>
        </w:tc>
        <w:tc>
          <w:tcPr>
            <w:tcW w:w="850" w:type="dxa"/>
            <w:hideMark/>
          </w:tcPr>
          <w:p w14:paraId="1C2A8270"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52</w:t>
            </w:r>
          </w:p>
        </w:tc>
        <w:tc>
          <w:tcPr>
            <w:tcW w:w="851" w:type="dxa"/>
            <w:hideMark/>
          </w:tcPr>
          <w:p w14:paraId="25DACBD2"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228</w:t>
            </w:r>
          </w:p>
        </w:tc>
        <w:tc>
          <w:tcPr>
            <w:tcW w:w="850" w:type="dxa"/>
            <w:hideMark/>
          </w:tcPr>
          <w:p w14:paraId="55C9F58E"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46</w:t>
            </w:r>
          </w:p>
        </w:tc>
        <w:tc>
          <w:tcPr>
            <w:tcW w:w="1134" w:type="dxa"/>
            <w:hideMark/>
          </w:tcPr>
          <w:p w14:paraId="3FDE2041"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331</w:t>
            </w:r>
          </w:p>
        </w:tc>
        <w:tc>
          <w:tcPr>
            <w:tcW w:w="1843" w:type="dxa"/>
            <w:hideMark/>
          </w:tcPr>
          <w:p w14:paraId="47882505"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801</w:t>
            </w:r>
          </w:p>
        </w:tc>
      </w:tr>
      <w:tr w:rsidR="000B3DD8" w:rsidRPr="00713EC6" w14:paraId="5453CB71" w14:textId="77777777" w:rsidTr="00A51E14">
        <w:trPr>
          <w:trHeight w:val="315"/>
        </w:trPr>
        <w:tc>
          <w:tcPr>
            <w:tcW w:w="2660" w:type="dxa"/>
            <w:noWrap/>
            <w:hideMark/>
          </w:tcPr>
          <w:p w14:paraId="3C9AF9D9" w14:textId="77777777" w:rsidR="000B3DD8" w:rsidRPr="00C45C9D" w:rsidRDefault="000B3DD8" w:rsidP="00A51E14">
            <w:pPr>
              <w:rPr>
                <w:rFonts w:ascii="Arial Narrow" w:hAnsi="Arial Narrow"/>
                <w:b/>
                <w:bCs/>
              </w:rPr>
            </w:pPr>
            <w:r w:rsidRPr="00C45C9D">
              <w:rPr>
                <w:rFonts w:ascii="Arial Narrow" w:hAnsi="Arial Narrow"/>
                <w:b/>
                <w:bCs/>
              </w:rPr>
              <w:t xml:space="preserve">Extrait Naissance </w:t>
            </w:r>
          </w:p>
        </w:tc>
        <w:tc>
          <w:tcPr>
            <w:tcW w:w="1021" w:type="dxa"/>
            <w:hideMark/>
          </w:tcPr>
          <w:p w14:paraId="206FDEFD" w14:textId="77777777" w:rsidR="000B3DD8" w:rsidRPr="00713EC6" w:rsidRDefault="000B3DD8" w:rsidP="00A51E14">
            <w:pPr>
              <w:jc w:val="center"/>
              <w:rPr>
                <w:rFonts w:ascii="Arial Narrow" w:hAnsi="Arial Narrow"/>
                <w:sz w:val="20"/>
                <w:szCs w:val="20"/>
              </w:rPr>
            </w:pPr>
            <w:r w:rsidRPr="00713EC6">
              <w:rPr>
                <w:rFonts w:ascii="Arial Narrow" w:hAnsi="Arial Narrow"/>
                <w:sz w:val="20"/>
                <w:szCs w:val="20"/>
              </w:rPr>
              <w:t>370</w:t>
            </w:r>
          </w:p>
        </w:tc>
        <w:tc>
          <w:tcPr>
            <w:tcW w:w="850" w:type="dxa"/>
            <w:hideMark/>
          </w:tcPr>
          <w:p w14:paraId="7ECA4BA0"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21</w:t>
            </w:r>
          </w:p>
        </w:tc>
        <w:tc>
          <w:tcPr>
            <w:tcW w:w="851" w:type="dxa"/>
            <w:hideMark/>
          </w:tcPr>
          <w:p w14:paraId="31C43069"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249</w:t>
            </w:r>
          </w:p>
        </w:tc>
        <w:tc>
          <w:tcPr>
            <w:tcW w:w="850" w:type="dxa"/>
            <w:hideMark/>
          </w:tcPr>
          <w:p w14:paraId="4E820C94"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92</w:t>
            </w:r>
          </w:p>
        </w:tc>
        <w:tc>
          <w:tcPr>
            <w:tcW w:w="1134" w:type="dxa"/>
            <w:hideMark/>
          </w:tcPr>
          <w:p w14:paraId="6E295AD6"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53</w:t>
            </w:r>
          </w:p>
        </w:tc>
        <w:tc>
          <w:tcPr>
            <w:tcW w:w="1843" w:type="dxa"/>
            <w:hideMark/>
          </w:tcPr>
          <w:p w14:paraId="438EB21D"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785</w:t>
            </w:r>
          </w:p>
        </w:tc>
      </w:tr>
      <w:tr w:rsidR="000B3DD8" w:rsidRPr="00713EC6" w14:paraId="74167E7D" w14:textId="77777777" w:rsidTr="00A51E14">
        <w:trPr>
          <w:trHeight w:val="315"/>
        </w:trPr>
        <w:tc>
          <w:tcPr>
            <w:tcW w:w="2660" w:type="dxa"/>
            <w:noWrap/>
            <w:hideMark/>
          </w:tcPr>
          <w:p w14:paraId="2DB07DC7" w14:textId="77777777" w:rsidR="000B3DD8" w:rsidRPr="00C45C9D" w:rsidRDefault="000B3DD8" w:rsidP="00A51E14">
            <w:pPr>
              <w:rPr>
                <w:rFonts w:ascii="Arial Narrow" w:hAnsi="Arial Narrow"/>
                <w:b/>
                <w:bCs/>
              </w:rPr>
            </w:pPr>
            <w:r w:rsidRPr="00C45C9D">
              <w:rPr>
                <w:rFonts w:ascii="Arial Narrow" w:hAnsi="Arial Narrow"/>
                <w:b/>
                <w:bCs/>
              </w:rPr>
              <w:t xml:space="preserve">Non Extrait de naissance </w:t>
            </w:r>
          </w:p>
        </w:tc>
        <w:tc>
          <w:tcPr>
            <w:tcW w:w="1021" w:type="dxa"/>
            <w:hideMark/>
          </w:tcPr>
          <w:p w14:paraId="66D5F8F5" w14:textId="77777777" w:rsidR="000B3DD8" w:rsidRPr="00713EC6" w:rsidRDefault="000B3DD8" w:rsidP="00A51E14">
            <w:pPr>
              <w:jc w:val="center"/>
              <w:rPr>
                <w:rFonts w:ascii="Arial Narrow" w:hAnsi="Arial Narrow"/>
                <w:sz w:val="20"/>
                <w:szCs w:val="20"/>
              </w:rPr>
            </w:pPr>
            <w:r w:rsidRPr="00713EC6">
              <w:rPr>
                <w:rFonts w:ascii="Arial Narrow" w:hAnsi="Arial Narrow"/>
                <w:sz w:val="20"/>
                <w:szCs w:val="20"/>
              </w:rPr>
              <w:t>69</w:t>
            </w:r>
          </w:p>
        </w:tc>
        <w:tc>
          <w:tcPr>
            <w:tcW w:w="850" w:type="dxa"/>
            <w:hideMark/>
          </w:tcPr>
          <w:p w14:paraId="39BCBBA7"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255</w:t>
            </w:r>
          </w:p>
        </w:tc>
        <w:tc>
          <w:tcPr>
            <w:tcW w:w="851" w:type="dxa"/>
            <w:hideMark/>
          </w:tcPr>
          <w:p w14:paraId="1877B7AF"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162</w:t>
            </w:r>
          </w:p>
        </w:tc>
        <w:tc>
          <w:tcPr>
            <w:tcW w:w="850" w:type="dxa"/>
            <w:hideMark/>
          </w:tcPr>
          <w:p w14:paraId="43CE6906"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51</w:t>
            </w:r>
          </w:p>
        </w:tc>
        <w:tc>
          <w:tcPr>
            <w:tcW w:w="1134" w:type="dxa"/>
            <w:hideMark/>
          </w:tcPr>
          <w:p w14:paraId="609FEAB6"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301</w:t>
            </w:r>
          </w:p>
        </w:tc>
        <w:tc>
          <w:tcPr>
            <w:tcW w:w="1843" w:type="dxa"/>
            <w:hideMark/>
          </w:tcPr>
          <w:p w14:paraId="71FC38A8"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838</w:t>
            </w:r>
          </w:p>
        </w:tc>
      </w:tr>
      <w:tr w:rsidR="000B3DD8" w:rsidRPr="00713EC6" w14:paraId="1883A637" w14:textId="77777777" w:rsidTr="00A51E14">
        <w:trPr>
          <w:trHeight w:val="315"/>
        </w:trPr>
        <w:tc>
          <w:tcPr>
            <w:tcW w:w="2660" w:type="dxa"/>
            <w:noWrap/>
            <w:hideMark/>
          </w:tcPr>
          <w:p w14:paraId="1DFF6C2F" w14:textId="77777777" w:rsidR="000B3DD8" w:rsidRPr="00C45C9D" w:rsidRDefault="000B3DD8" w:rsidP="00A51E14">
            <w:pPr>
              <w:rPr>
                <w:rFonts w:ascii="Arial Narrow" w:hAnsi="Arial Narrow"/>
                <w:b/>
                <w:bCs/>
              </w:rPr>
            </w:pPr>
            <w:r w:rsidRPr="00C45C9D">
              <w:rPr>
                <w:rFonts w:ascii="Arial Narrow" w:hAnsi="Arial Narrow"/>
                <w:b/>
                <w:bCs/>
              </w:rPr>
              <w:t xml:space="preserve">Évènements Anormaux </w:t>
            </w:r>
          </w:p>
        </w:tc>
        <w:tc>
          <w:tcPr>
            <w:tcW w:w="1021" w:type="dxa"/>
            <w:hideMark/>
          </w:tcPr>
          <w:p w14:paraId="6AE61AC4"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0</w:t>
            </w:r>
          </w:p>
        </w:tc>
        <w:tc>
          <w:tcPr>
            <w:tcW w:w="850" w:type="dxa"/>
            <w:hideMark/>
          </w:tcPr>
          <w:p w14:paraId="189DCD49"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0</w:t>
            </w:r>
          </w:p>
        </w:tc>
        <w:tc>
          <w:tcPr>
            <w:tcW w:w="851" w:type="dxa"/>
            <w:hideMark/>
          </w:tcPr>
          <w:p w14:paraId="78D93B90"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0</w:t>
            </w:r>
          </w:p>
        </w:tc>
        <w:tc>
          <w:tcPr>
            <w:tcW w:w="850" w:type="dxa"/>
            <w:hideMark/>
          </w:tcPr>
          <w:p w14:paraId="40CEFF8B"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0</w:t>
            </w:r>
          </w:p>
        </w:tc>
        <w:tc>
          <w:tcPr>
            <w:tcW w:w="1134" w:type="dxa"/>
            <w:hideMark/>
          </w:tcPr>
          <w:p w14:paraId="602E57A1"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0</w:t>
            </w:r>
          </w:p>
        </w:tc>
        <w:tc>
          <w:tcPr>
            <w:tcW w:w="1843" w:type="dxa"/>
            <w:hideMark/>
          </w:tcPr>
          <w:p w14:paraId="6CE4970C" w14:textId="77777777" w:rsidR="000B3DD8" w:rsidRPr="00713EC6" w:rsidRDefault="000B3DD8" w:rsidP="00A51E14">
            <w:pPr>
              <w:jc w:val="center"/>
              <w:rPr>
                <w:rFonts w:ascii="Arial Narrow" w:hAnsi="Arial Narrow"/>
                <w:bCs/>
                <w:sz w:val="20"/>
                <w:szCs w:val="20"/>
              </w:rPr>
            </w:pPr>
            <w:r w:rsidRPr="00713EC6">
              <w:rPr>
                <w:rFonts w:ascii="Arial Narrow" w:hAnsi="Arial Narrow"/>
                <w:bCs/>
                <w:sz w:val="20"/>
                <w:szCs w:val="20"/>
              </w:rPr>
              <w:t>0</w:t>
            </w:r>
          </w:p>
        </w:tc>
      </w:tr>
    </w:tbl>
    <w:p w14:paraId="0D8C5364" w14:textId="77777777" w:rsidR="000B3DD8" w:rsidRDefault="000B3DD8" w:rsidP="000B3DD8">
      <w:pPr>
        <w:pStyle w:val="Titre2"/>
        <w:numPr>
          <w:ilvl w:val="0"/>
          <w:numId w:val="0"/>
        </w:numPr>
        <w:spacing w:before="0" w:after="0" w:line="240" w:lineRule="auto"/>
        <w:ind w:left="1440"/>
        <w:rPr>
          <w:rFonts w:ascii="Arial Narrow" w:hAnsi="Arial Narrow"/>
        </w:rPr>
      </w:pPr>
      <w:bookmarkStart w:id="42" w:name="_Toc479243956"/>
    </w:p>
    <w:p w14:paraId="5B67DAC6" w14:textId="77777777" w:rsidR="000B3DD8" w:rsidRPr="00BB2C37" w:rsidRDefault="000B3DD8" w:rsidP="000B3DD8">
      <w:pPr>
        <w:pStyle w:val="Titre1"/>
        <w:numPr>
          <w:ilvl w:val="1"/>
          <w:numId w:val="6"/>
        </w:numPr>
        <w:spacing w:before="0" w:after="0" w:line="240" w:lineRule="auto"/>
      </w:pPr>
      <w:bookmarkStart w:id="43" w:name="_Toc49631558"/>
      <w:bookmarkStart w:id="44" w:name="_Toc49632193"/>
      <w:r w:rsidRPr="00BB2C37">
        <w:t>Clinique ophtalmologie (Kéitayah)</w:t>
      </w:r>
      <w:bookmarkEnd w:id="42"/>
      <w:bookmarkEnd w:id="43"/>
      <w:bookmarkEnd w:id="44"/>
      <w:r w:rsidRPr="00BB2C37">
        <w:t xml:space="preserve"> </w:t>
      </w:r>
    </w:p>
    <w:p w14:paraId="3A40C7A7" w14:textId="77777777" w:rsidR="000B3DD8" w:rsidRPr="00C27612" w:rsidRDefault="000B3DD8" w:rsidP="000B3DD8">
      <w:pPr>
        <w:spacing w:after="0" w:line="240" w:lineRule="auto"/>
        <w:jc w:val="both"/>
        <w:rPr>
          <w:rFonts w:ascii="Arial Narrow" w:hAnsi="Arial Narrow"/>
          <w:sz w:val="24"/>
          <w:szCs w:val="24"/>
        </w:rPr>
      </w:pPr>
      <w:r w:rsidRPr="00C27612">
        <w:rPr>
          <w:rFonts w:ascii="Arial Narrow" w:hAnsi="Arial Narrow"/>
          <w:sz w:val="24"/>
          <w:szCs w:val="24"/>
        </w:rPr>
        <w:t xml:space="preserve">En collaboration avec le Centre d’application en soins spécialisés oculaires </w:t>
      </w:r>
      <w:r>
        <w:rPr>
          <w:rFonts w:ascii="Arial Narrow" w:hAnsi="Arial Narrow"/>
          <w:sz w:val="24"/>
          <w:szCs w:val="24"/>
        </w:rPr>
        <w:t xml:space="preserve">(CADESSO) </w:t>
      </w:r>
      <w:r w:rsidRPr="00C27612">
        <w:rPr>
          <w:rFonts w:ascii="Arial Narrow" w:hAnsi="Arial Narrow"/>
          <w:sz w:val="24"/>
          <w:szCs w:val="24"/>
        </w:rPr>
        <w:t xml:space="preserve">du CHU de </w:t>
      </w:r>
      <w:proofErr w:type="spellStart"/>
      <w:r w:rsidRPr="00C27612">
        <w:rPr>
          <w:rFonts w:ascii="Arial Narrow" w:hAnsi="Arial Narrow"/>
          <w:sz w:val="24"/>
          <w:szCs w:val="24"/>
        </w:rPr>
        <w:t>Donka</w:t>
      </w:r>
      <w:proofErr w:type="spellEnd"/>
      <w:r w:rsidRPr="00C27612">
        <w:rPr>
          <w:rFonts w:ascii="Arial Narrow" w:hAnsi="Arial Narrow"/>
          <w:sz w:val="24"/>
          <w:szCs w:val="24"/>
        </w:rPr>
        <w:t>, les consultations et soins de l’unité ophtalmo ont commencé par 2 journées portes ouvertes gratuites qui ont connus un engouement. Aussitôt qu’un tarif forfaitaire modique a été demandé, les patients se sont raréfiés. L</w:t>
      </w:r>
      <w:r>
        <w:rPr>
          <w:rFonts w:ascii="Arial Narrow" w:hAnsi="Arial Narrow"/>
          <w:sz w:val="24"/>
          <w:szCs w:val="24"/>
        </w:rPr>
        <w:t xml:space="preserve">e CADESSO a apporté son appui à </w:t>
      </w:r>
      <w:r w:rsidRPr="00C27612">
        <w:rPr>
          <w:rFonts w:ascii="Arial Narrow" w:hAnsi="Arial Narrow"/>
          <w:sz w:val="24"/>
          <w:szCs w:val="24"/>
        </w:rPr>
        <w:t xml:space="preserve">l’étude longitudinale des survivants Ébola. </w:t>
      </w:r>
    </w:p>
    <w:p w14:paraId="623836D2" w14:textId="77777777" w:rsidR="000B3DD8" w:rsidRPr="00C27612" w:rsidRDefault="000B3DD8" w:rsidP="000B3DD8">
      <w:pPr>
        <w:jc w:val="both"/>
        <w:rPr>
          <w:rFonts w:ascii="Arial Narrow" w:hAnsi="Arial Narrow"/>
          <w:sz w:val="24"/>
          <w:szCs w:val="24"/>
        </w:rPr>
      </w:pPr>
      <w:r w:rsidRPr="00C27612">
        <w:rPr>
          <w:rFonts w:ascii="Arial Narrow" w:hAnsi="Arial Narrow"/>
          <w:sz w:val="24"/>
          <w:szCs w:val="24"/>
        </w:rPr>
        <w:t xml:space="preserve">Une mission de prospection (FOSAD-CADESSO) a été effectué du 20-23 Octobre 2016 pour la mise en place d’une Unité ophtalmo dans la future PCM de </w:t>
      </w:r>
      <w:proofErr w:type="spellStart"/>
      <w:r w:rsidRPr="00C27612">
        <w:rPr>
          <w:rFonts w:ascii="Arial Narrow" w:hAnsi="Arial Narrow"/>
          <w:sz w:val="24"/>
          <w:szCs w:val="24"/>
        </w:rPr>
        <w:t>Baniré</w:t>
      </w:r>
      <w:proofErr w:type="spellEnd"/>
      <w:r w:rsidRPr="00C27612">
        <w:rPr>
          <w:rFonts w:ascii="Arial Narrow" w:hAnsi="Arial Narrow"/>
          <w:sz w:val="24"/>
          <w:szCs w:val="24"/>
        </w:rPr>
        <w:t xml:space="preserve"> à Dabola</w:t>
      </w:r>
      <w:r>
        <w:rPr>
          <w:rFonts w:ascii="Arial Narrow" w:hAnsi="Arial Narrow"/>
          <w:sz w:val="24"/>
          <w:szCs w:val="24"/>
        </w:rPr>
        <w:t xml:space="preserve">. Malheureusement faute de financement cette activité n’a pas pu se poursuivre. </w:t>
      </w:r>
    </w:p>
    <w:p w14:paraId="0874BDA0" w14:textId="1BF00C0C" w:rsidR="000B3DD8" w:rsidRDefault="000B3DD8"/>
    <w:p w14:paraId="349A5BA7" w14:textId="77777777" w:rsidR="000B3DD8" w:rsidRPr="009C56A8" w:rsidRDefault="000B3DD8" w:rsidP="000B3DD8">
      <w:pPr>
        <w:pStyle w:val="Titre1"/>
        <w:numPr>
          <w:ilvl w:val="0"/>
          <w:numId w:val="6"/>
        </w:numPr>
        <w:spacing w:before="240" w:after="0" w:line="240" w:lineRule="auto"/>
        <w:rPr>
          <w:rStyle w:val="lev"/>
          <w:b/>
          <w:bCs/>
          <w:color w:val="0070C0"/>
        </w:rPr>
      </w:pPr>
      <w:bookmarkStart w:id="45" w:name="_Toc411577743"/>
      <w:bookmarkStart w:id="46" w:name="_Toc411595615"/>
      <w:bookmarkStart w:id="47" w:name="_Toc49631559"/>
      <w:bookmarkStart w:id="48" w:name="_Toc49632194"/>
      <w:r w:rsidRPr="009C56A8">
        <w:rPr>
          <w:rStyle w:val="lev"/>
          <w:b/>
          <w:bCs/>
          <w:color w:val="0070C0"/>
        </w:rPr>
        <w:lastRenderedPageBreak/>
        <w:t>CONSULTATIONS, PARTICIPATION A DES REUNIONS, ATELIERS ET CONGRES SCIENTIFIQUES</w:t>
      </w:r>
      <w:bookmarkEnd w:id="45"/>
      <w:bookmarkEnd w:id="46"/>
      <w:bookmarkEnd w:id="47"/>
      <w:bookmarkEnd w:id="48"/>
    </w:p>
    <w:p w14:paraId="20BAF2A8" w14:textId="77777777" w:rsidR="000B3DD8" w:rsidRPr="00C27612" w:rsidRDefault="000B3DD8" w:rsidP="000B3DD8">
      <w:pPr>
        <w:jc w:val="both"/>
        <w:rPr>
          <w:rFonts w:ascii="Arial Narrow" w:hAnsi="Arial Narrow"/>
          <w:sz w:val="24"/>
          <w:szCs w:val="24"/>
        </w:rPr>
      </w:pPr>
      <w:r w:rsidRPr="00C27612">
        <w:rPr>
          <w:rFonts w:ascii="Arial Narrow" w:hAnsi="Arial Narrow"/>
          <w:sz w:val="24"/>
          <w:szCs w:val="24"/>
        </w:rPr>
        <w:t>Le Président/Directeur exécutif de la FOSAD et ses collègues ont menées des consultations et ont été invités à de nombreuses conférences, réunions, ateliers. Notamment :</w:t>
      </w:r>
    </w:p>
    <w:p w14:paraId="3EFBDA78" w14:textId="77777777" w:rsidR="000B3DD8" w:rsidRPr="00C27612" w:rsidRDefault="000B3DD8" w:rsidP="000B3DD8">
      <w:pPr>
        <w:pStyle w:val="Paragraphedeliste"/>
        <w:numPr>
          <w:ilvl w:val="0"/>
          <w:numId w:val="12"/>
        </w:numPr>
        <w:spacing w:after="0" w:line="240" w:lineRule="auto"/>
        <w:jc w:val="both"/>
        <w:rPr>
          <w:rFonts w:ascii="Arial Narrow" w:hAnsi="Arial Narrow"/>
          <w:sz w:val="24"/>
          <w:szCs w:val="24"/>
        </w:rPr>
      </w:pPr>
      <w:r w:rsidRPr="00C27612">
        <w:rPr>
          <w:rFonts w:ascii="Arial Narrow" w:hAnsi="Arial Narrow"/>
          <w:sz w:val="24"/>
          <w:szCs w:val="24"/>
        </w:rPr>
        <w:t>Enseignement dans le cadre du Master de Santé Publique à l’Université Koffi-</w:t>
      </w:r>
      <w:proofErr w:type="spellStart"/>
      <w:r w:rsidRPr="00C27612">
        <w:rPr>
          <w:rFonts w:ascii="Arial Narrow" w:hAnsi="Arial Narrow"/>
          <w:sz w:val="24"/>
          <w:szCs w:val="24"/>
        </w:rPr>
        <w:t>Anan</w:t>
      </w:r>
      <w:proofErr w:type="spellEnd"/>
      <w:r w:rsidRPr="00C27612">
        <w:rPr>
          <w:rFonts w:ascii="Arial Narrow" w:hAnsi="Arial Narrow"/>
          <w:sz w:val="24"/>
          <w:szCs w:val="24"/>
        </w:rPr>
        <w:t xml:space="preserve"> de </w:t>
      </w:r>
      <w:proofErr w:type="spellStart"/>
      <w:r w:rsidRPr="00C27612">
        <w:rPr>
          <w:rFonts w:ascii="Arial Narrow" w:hAnsi="Arial Narrow"/>
          <w:sz w:val="24"/>
          <w:szCs w:val="24"/>
        </w:rPr>
        <w:t>Nongo</w:t>
      </w:r>
      <w:proofErr w:type="spellEnd"/>
      <w:r w:rsidRPr="00C27612">
        <w:rPr>
          <w:rFonts w:ascii="Arial Narrow" w:hAnsi="Arial Narrow"/>
          <w:sz w:val="24"/>
          <w:szCs w:val="24"/>
        </w:rPr>
        <w:t xml:space="preserve"> </w:t>
      </w:r>
    </w:p>
    <w:p w14:paraId="5EF8F35A" w14:textId="77777777" w:rsidR="000B3DD8" w:rsidRPr="00C27612" w:rsidRDefault="000B3DD8" w:rsidP="000B3DD8">
      <w:pPr>
        <w:pStyle w:val="Paragraphedeliste"/>
        <w:numPr>
          <w:ilvl w:val="0"/>
          <w:numId w:val="12"/>
        </w:numPr>
        <w:spacing w:after="0" w:line="240" w:lineRule="auto"/>
        <w:jc w:val="both"/>
        <w:rPr>
          <w:rFonts w:ascii="Arial Narrow" w:hAnsi="Arial Narrow"/>
          <w:sz w:val="24"/>
          <w:szCs w:val="24"/>
          <w:lang w:val="en-CA"/>
        </w:rPr>
      </w:pPr>
      <w:r w:rsidRPr="00C27612">
        <w:rPr>
          <w:rFonts w:ascii="Arial Narrow" w:hAnsi="Arial Narrow"/>
          <w:sz w:val="24"/>
          <w:szCs w:val="24"/>
          <w:lang w:val="en-CA"/>
        </w:rPr>
        <w:t xml:space="preserve">Grant </w:t>
      </w:r>
      <w:proofErr w:type="spellStart"/>
      <w:r w:rsidRPr="00C27612">
        <w:rPr>
          <w:rFonts w:ascii="Arial Narrow" w:hAnsi="Arial Narrow"/>
          <w:sz w:val="24"/>
          <w:szCs w:val="24"/>
          <w:lang w:val="en-CA"/>
        </w:rPr>
        <w:t>Projet</w:t>
      </w:r>
      <w:proofErr w:type="spellEnd"/>
      <w:r w:rsidRPr="00C27612">
        <w:rPr>
          <w:rFonts w:ascii="Arial Narrow" w:hAnsi="Arial Narrow"/>
          <w:sz w:val="24"/>
          <w:szCs w:val="24"/>
          <w:lang w:val="en-CA"/>
        </w:rPr>
        <w:t xml:space="preserve"> GCRF Safer Water and Hub (Meeting </w:t>
      </w:r>
      <w:r>
        <w:rPr>
          <w:rFonts w:ascii="Arial Narrow" w:hAnsi="Arial Narrow"/>
          <w:sz w:val="24"/>
          <w:szCs w:val="24"/>
          <w:lang w:val="en-CA"/>
        </w:rPr>
        <w:t xml:space="preserve">à </w:t>
      </w:r>
      <w:proofErr w:type="spellStart"/>
      <w:r>
        <w:rPr>
          <w:rFonts w:ascii="Arial Narrow" w:hAnsi="Arial Narrow"/>
          <w:sz w:val="24"/>
          <w:szCs w:val="24"/>
          <w:lang w:val="en-CA"/>
        </w:rPr>
        <w:t>Londres</w:t>
      </w:r>
      <w:proofErr w:type="spellEnd"/>
      <w:r>
        <w:rPr>
          <w:rFonts w:ascii="Arial Narrow" w:hAnsi="Arial Narrow"/>
          <w:sz w:val="24"/>
          <w:szCs w:val="24"/>
          <w:lang w:val="en-CA"/>
        </w:rPr>
        <w:t xml:space="preserve"> </w:t>
      </w:r>
      <w:r w:rsidRPr="00C27612">
        <w:rPr>
          <w:rFonts w:ascii="Arial Narrow" w:hAnsi="Arial Narrow"/>
          <w:sz w:val="24"/>
          <w:szCs w:val="24"/>
          <w:lang w:val="en-CA"/>
        </w:rPr>
        <w:t>24-25 Mars PHE, UK)</w:t>
      </w:r>
    </w:p>
    <w:p w14:paraId="0F9CA1A9" w14:textId="77777777" w:rsidR="000B3DD8" w:rsidRPr="00C27612" w:rsidRDefault="000B3DD8" w:rsidP="000B3DD8">
      <w:pPr>
        <w:pStyle w:val="Paragraphedeliste"/>
        <w:numPr>
          <w:ilvl w:val="0"/>
          <w:numId w:val="12"/>
        </w:numPr>
        <w:spacing w:after="0" w:line="240" w:lineRule="auto"/>
        <w:jc w:val="both"/>
        <w:rPr>
          <w:rFonts w:ascii="Arial Narrow" w:hAnsi="Arial Narrow"/>
          <w:sz w:val="24"/>
          <w:szCs w:val="24"/>
        </w:rPr>
      </w:pPr>
      <w:r w:rsidRPr="00C27612">
        <w:rPr>
          <w:rFonts w:ascii="Arial Narrow" w:hAnsi="Arial Narrow"/>
          <w:sz w:val="24"/>
          <w:szCs w:val="24"/>
          <w:lang w:val="en-CA"/>
        </w:rPr>
        <w:t xml:space="preserve">Participation à </w:t>
      </w:r>
      <w:proofErr w:type="spellStart"/>
      <w:r w:rsidRPr="00C27612">
        <w:rPr>
          <w:rFonts w:ascii="Arial Narrow" w:hAnsi="Arial Narrow"/>
          <w:sz w:val="24"/>
          <w:szCs w:val="24"/>
          <w:lang w:val="en-CA"/>
        </w:rPr>
        <w:t>l’Atelier</w:t>
      </w:r>
      <w:proofErr w:type="spellEnd"/>
      <w:r w:rsidRPr="00C27612">
        <w:rPr>
          <w:rFonts w:ascii="Arial Narrow" w:hAnsi="Arial Narrow"/>
          <w:sz w:val="24"/>
          <w:szCs w:val="24"/>
          <w:lang w:val="en-CA"/>
        </w:rPr>
        <w:t xml:space="preserve"> de Brazzaville “Ethics during an EVD outbreak” A workshop to facilitate Ethics committee members and regulatory authorities evaluation of research protocols in an emergency situation like EVD disease (Brazzaville, Republic of Congo, 31 May – 1 June 2018</w:t>
      </w:r>
      <w:proofErr w:type="gramStart"/>
      <w:r w:rsidRPr="00C27612">
        <w:rPr>
          <w:rFonts w:ascii="Arial Narrow" w:hAnsi="Arial Narrow"/>
          <w:sz w:val="24"/>
          <w:szCs w:val="24"/>
          <w:lang w:val="en-CA"/>
        </w:rPr>
        <w:t>) ;</w:t>
      </w:r>
      <w:proofErr w:type="gramEnd"/>
      <w:r w:rsidRPr="00C27612">
        <w:rPr>
          <w:rFonts w:ascii="Arial Narrow" w:hAnsi="Arial Narrow"/>
          <w:sz w:val="24"/>
          <w:szCs w:val="24"/>
          <w:lang w:val="en-CA"/>
        </w:rPr>
        <w:t xml:space="preserve"> par  PANDORA et ALERT. </w:t>
      </w:r>
      <w:r w:rsidRPr="00C27612">
        <w:rPr>
          <w:rFonts w:ascii="Arial Narrow" w:hAnsi="Arial Narrow"/>
          <w:sz w:val="24"/>
          <w:szCs w:val="24"/>
        </w:rPr>
        <w:t>Une présentation a été faite « Expériences et enseignements tirés du comité national d’éthique pour la recherche en santé (</w:t>
      </w:r>
      <w:r>
        <w:rPr>
          <w:rFonts w:ascii="Arial Narrow" w:hAnsi="Arial Narrow"/>
          <w:sz w:val="24"/>
          <w:szCs w:val="24"/>
        </w:rPr>
        <w:t>CNERS</w:t>
      </w:r>
      <w:r w:rsidRPr="00C27612">
        <w:rPr>
          <w:rFonts w:ascii="Arial Narrow" w:hAnsi="Arial Narrow"/>
          <w:sz w:val="24"/>
          <w:szCs w:val="24"/>
        </w:rPr>
        <w:t>) de la guinée durant l’épidémie d’Ebola en Afrique de l’ouest (2014-2016) ».</w:t>
      </w:r>
    </w:p>
    <w:p w14:paraId="06F27B55" w14:textId="77777777" w:rsidR="000B3DD8" w:rsidRPr="00C27612" w:rsidRDefault="000B3DD8" w:rsidP="000B3DD8">
      <w:pPr>
        <w:pStyle w:val="Paragraphedeliste"/>
        <w:numPr>
          <w:ilvl w:val="0"/>
          <w:numId w:val="12"/>
        </w:numPr>
        <w:spacing w:after="0" w:line="240" w:lineRule="auto"/>
        <w:jc w:val="both"/>
        <w:rPr>
          <w:rFonts w:ascii="Arial Narrow" w:hAnsi="Arial Narrow"/>
          <w:sz w:val="24"/>
          <w:szCs w:val="24"/>
        </w:rPr>
      </w:pPr>
      <w:r w:rsidRPr="00C27612">
        <w:rPr>
          <w:rFonts w:ascii="Arial Narrow" w:hAnsi="Arial Narrow"/>
          <w:sz w:val="24"/>
          <w:szCs w:val="24"/>
        </w:rPr>
        <w:t xml:space="preserve"> Participation au Conseil d’Administration de PREGUI (Collaboration Guinée-USA sur la recherche clinique) à Conakry, 27 Juin 2018 suivi par l’Atelier de finalisation du Plan stratégique (15-19 Juillet 2018) et du 12-13 Septembre (Réunion du Comité de pilotage</w:t>
      </w:r>
    </w:p>
    <w:p w14:paraId="1F72226E" w14:textId="77777777" w:rsidR="000B3DD8" w:rsidRPr="00C27612" w:rsidRDefault="000B3DD8" w:rsidP="000B3DD8">
      <w:pPr>
        <w:pStyle w:val="Paragraphedeliste"/>
        <w:numPr>
          <w:ilvl w:val="0"/>
          <w:numId w:val="12"/>
        </w:numPr>
        <w:spacing w:after="0" w:line="240" w:lineRule="auto"/>
        <w:jc w:val="both"/>
        <w:rPr>
          <w:rFonts w:ascii="Arial Narrow" w:hAnsi="Arial Narrow"/>
          <w:sz w:val="24"/>
          <w:szCs w:val="24"/>
        </w:rPr>
      </w:pPr>
      <w:r w:rsidRPr="00C27612">
        <w:rPr>
          <w:rFonts w:ascii="Arial Narrow" w:hAnsi="Arial Narrow"/>
          <w:sz w:val="24"/>
          <w:szCs w:val="24"/>
        </w:rPr>
        <w:t>Participation à la 4</w:t>
      </w:r>
      <w:r w:rsidRPr="00C27612">
        <w:rPr>
          <w:rFonts w:ascii="Arial Narrow" w:hAnsi="Arial Narrow"/>
          <w:sz w:val="24"/>
          <w:szCs w:val="24"/>
          <w:vertAlign w:val="superscript"/>
        </w:rPr>
        <w:t>ème</w:t>
      </w:r>
      <w:r w:rsidRPr="00C27612">
        <w:rPr>
          <w:rFonts w:ascii="Arial Narrow" w:hAnsi="Arial Narrow"/>
          <w:sz w:val="24"/>
          <w:szCs w:val="24"/>
        </w:rPr>
        <w:t xml:space="preserve"> Conférence du WAC (West </w:t>
      </w:r>
      <w:proofErr w:type="spellStart"/>
      <w:r w:rsidRPr="00C27612">
        <w:rPr>
          <w:rFonts w:ascii="Arial Narrow" w:hAnsi="Arial Narrow"/>
          <w:sz w:val="24"/>
          <w:szCs w:val="24"/>
        </w:rPr>
        <w:t>African</w:t>
      </w:r>
      <w:proofErr w:type="spellEnd"/>
      <w:r w:rsidRPr="00C27612">
        <w:rPr>
          <w:rFonts w:ascii="Arial Narrow" w:hAnsi="Arial Narrow"/>
          <w:sz w:val="24"/>
          <w:szCs w:val="24"/>
        </w:rPr>
        <w:t xml:space="preserve"> </w:t>
      </w:r>
      <w:proofErr w:type="spellStart"/>
      <w:r w:rsidRPr="00C27612">
        <w:rPr>
          <w:rFonts w:ascii="Arial Narrow" w:hAnsi="Arial Narrow"/>
          <w:sz w:val="24"/>
          <w:szCs w:val="24"/>
        </w:rPr>
        <w:t>Sub-Regional</w:t>
      </w:r>
      <w:proofErr w:type="spellEnd"/>
      <w:r w:rsidRPr="00C27612">
        <w:rPr>
          <w:rFonts w:ascii="Arial Narrow" w:hAnsi="Arial Narrow"/>
          <w:sz w:val="24"/>
          <w:szCs w:val="24"/>
        </w:rPr>
        <w:t xml:space="preserve"> </w:t>
      </w:r>
      <w:proofErr w:type="spellStart"/>
      <w:r w:rsidRPr="00C27612">
        <w:rPr>
          <w:rFonts w:ascii="Arial Narrow" w:hAnsi="Arial Narrow"/>
          <w:sz w:val="24"/>
          <w:szCs w:val="24"/>
        </w:rPr>
        <w:t>Conference</w:t>
      </w:r>
      <w:proofErr w:type="spellEnd"/>
      <w:r w:rsidRPr="00C27612">
        <w:rPr>
          <w:rFonts w:ascii="Arial Narrow" w:hAnsi="Arial Narrow"/>
          <w:sz w:val="24"/>
          <w:szCs w:val="24"/>
        </w:rPr>
        <w:t xml:space="preserve"> tenue du 15-18 Octobre 2018, Bamako, Mali- Hôtel de l’Amitié.</w:t>
      </w:r>
    </w:p>
    <w:p w14:paraId="789F926D" w14:textId="77777777" w:rsidR="000B3DD8" w:rsidRPr="00C27612" w:rsidRDefault="000B3DD8" w:rsidP="000B3DD8">
      <w:pPr>
        <w:pStyle w:val="Paragraphedeliste"/>
        <w:numPr>
          <w:ilvl w:val="0"/>
          <w:numId w:val="12"/>
        </w:numPr>
        <w:spacing w:after="0" w:line="240" w:lineRule="auto"/>
        <w:jc w:val="both"/>
        <w:rPr>
          <w:rFonts w:ascii="Arial Narrow" w:hAnsi="Arial Narrow"/>
          <w:sz w:val="24"/>
          <w:szCs w:val="24"/>
        </w:rPr>
      </w:pPr>
      <w:r w:rsidRPr="00C27612">
        <w:rPr>
          <w:rFonts w:ascii="Arial Narrow" w:hAnsi="Arial Narrow"/>
          <w:sz w:val="24"/>
          <w:szCs w:val="24"/>
        </w:rPr>
        <w:t xml:space="preserve"> Directeur Exécutif du FOSAD a assuré une consultation et a organisé un atelier de formation ICN Guinée portant sur l‘égalité de genres et inclusion, les droits humains, l’éthique et les conflits d’intérêt : Concepts, approches et révision des politiques internes Hôtel </w:t>
      </w:r>
      <w:proofErr w:type="spellStart"/>
      <w:r w:rsidRPr="00C27612">
        <w:rPr>
          <w:rFonts w:ascii="Arial Narrow" w:hAnsi="Arial Narrow"/>
          <w:sz w:val="24"/>
          <w:szCs w:val="24"/>
        </w:rPr>
        <w:t>Badiar</w:t>
      </w:r>
      <w:proofErr w:type="spellEnd"/>
      <w:r w:rsidRPr="00C27612">
        <w:rPr>
          <w:rFonts w:ascii="Arial Narrow" w:hAnsi="Arial Narrow"/>
          <w:sz w:val="24"/>
          <w:szCs w:val="24"/>
        </w:rPr>
        <w:t xml:space="preserve"> de Kindia, 18-22 Juin 2018</w:t>
      </w:r>
    </w:p>
    <w:p w14:paraId="1CC14FD8" w14:textId="77777777" w:rsidR="000B3DD8" w:rsidRPr="00C27612" w:rsidRDefault="000B3DD8" w:rsidP="000B3DD8">
      <w:pPr>
        <w:pStyle w:val="Paragraphedeliste"/>
        <w:numPr>
          <w:ilvl w:val="0"/>
          <w:numId w:val="12"/>
        </w:numPr>
        <w:spacing w:after="0" w:line="240" w:lineRule="auto"/>
        <w:jc w:val="both"/>
        <w:rPr>
          <w:rFonts w:ascii="Arial Narrow" w:hAnsi="Arial Narrow"/>
          <w:sz w:val="24"/>
          <w:szCs w:val="24"/>
        </w:rPr>
      </w:pPr>
      <w:r w:rsidRPr="00C27612">
        <w:rPr>
          <w:rFonts w:ascii="Arial Narrow" w:hAnsi="Arial Narrow"/>
          <w:sz w:val="24"/>
          <w:szCs w:val="24"/>
        </w:rPr>
        <w:t>Visite au Projet (PASSP, LABOGUI, REDISSE) avec l’appui de la Banque Mondiale</w:t>
      </w:r>
    </w:p>
    <w:p w14:paraId="3F20C8D7" w14:textId="77777777" w:rsidR="000B3DD8" w:rsidRPr="00C27612" w:rsidRDefault="000B3DD8" w:rsidP="000B3DD8">
      <w:pPr>
        <w:pStyle w:val="Paragraphedeliste"/>
        <w:numPr>
          <w:ilvl w:val="0"/>
          <w:numId w:val="12"/>
        </w:numPr>
        <w:spacing w:after="0" w:line="240" w:lineRule="auto"/>
        <w:jc w:val="both"/>
        <w:rPr>
          <w:rFonts w:ascii="Arial Narrow" w:hAnsi="Arial Narrow"/>
          <w:sz w:val="24"/>
          <w:szCs w:val="24"/>
        </w:rPr>
      </w:pPr>
      <w:r w:rsidRPr="00C27612">
        <w:rPr>
          <w:rFonts w:ascii="Arial Narrow" w:hAnsi="Arial Narrow"/>
          <w:sz w:val="24"/>
          <w:szCs w:val="24"/>
        </w:rPr>
        <w:t>Participation à la Réunion annuelle à Freetown (24-25 Septembre 2018) de l’</w:t>
      </w:r>
      <w:proofErr w:type="spellStart"/>
      <w:r w:rsidRPr="00C27612">
        <w:rPr>
          <w:rFonts w:ascii="Arial Narrow" w:hAnsi="Arial Narrow"/>
          <w:sz w:val="24"/>
          <w:szCs w:val="24"/>
        </w:rPr>
        <w:t>Africa</w:t>
      </w:r>
      <w:proofErr w:type="spellEnd"/>
      <w:r w:rsidRPr="00C27612">
        <w:rPr>
          <w:rFonts w:ascii="Arial Narrow" w:hAnsi="Arial Narrow"/>
          <w:sz w:val="24"/>
          <w:szCs w:val="24"/>
        </w:rPr>
        <w:t xml:space="preserve"> vaccine manufacturer initiative (AVMI) o</w:t>
      </w:r>
      <w:r>
        <w:rPr>
          <w:rFonts w:ascii="Arial Narrow" w:hAnsi="Arial Narrow"/>
          <w:sz w:val="24"/>
          <w:szCs w:val="24"/>
        </w:rPr>
        <w:t>ù</w:t>
      </w:r>
      <w:r w:rsidRPr="00C27612">
        <w:rPr>
          <w:rFonts w:ascii="Arial Narrow" w:hAnsi="Arial Narrow"/>
          <w:sz w:val="24"/>
          <w:szCs w:val="24"/>
        </w:rPr>
        <w:t xml:space="preserve"> la FOSAD-CEFORPAG est membre</w:t>
      </w:r>
    </w:p>
    <w:p w14:paraId="67C5C2DC" w14:textId="77777777" w:rsidR="000B3DD8" w:rsidRPr="00C27612" w:rsidRDefault="000B3DD8" w:rsidP="000B3DD8">
      <w:pPr>
        <w:pStyle w:val="Paragraphedeliste"/>
        <w:numPr>
          <w:ilvl w:val="0"/>
          <w:numId w:val="12"/>
        </w:numPr>
        <w:spacing w:after="0" w:line="240" w:lineRule="auto"/>
        <w:jc w:val="both"/>
        <w:rPr>
          <w:rFonts w:ascii="Arial Narrow" w:hAnsi="Arial Narrow"/>
          <w:sz w:val="24"/>
          <w:szCs w:val="24"/>
        </w:rPr>
      </w:pPr>
      <w:r w:rsidRPr="00C27612">
        <w:rPr>
          <w:rFonts w:ascii="Arial Narrow" w:hAnsi="Arial Narrow"/>
          <w:sz w:val="24"/>
          <w:szCs w:val="24"/>
        </w:rPr>
        <w:t>Modérateur de l’atelier de lancement du projet PREPLINE (10 et 11 octobre 2018 à l’hôtel RIVIERA de Kaloum).</w:t>
      </w:r>
    </w:p>
    <w:p w14:paraId="28D15B33" w14:textId="77777777" w:rsidR="000B3DD8" w:rsidRPr="00C27612" w:rsidRDefault="000B3DD8" w:rsidP="000B3DD8">
      <w:pPr>
        <w:pStyle w:val="Paragraphedeliste"/>
        <w:numPr>
          <w:ilvl w:val="0"/>
          <w:numId w:val="12"/>
        </w:numPr>
        <w:spacing w:after="0" w:line="240" w:lineRule="auto"/>
        <w:jc w:val="both"/>
        <w:rPr>
          <w:rFonts w:ascii="Arial Narrow" w:hAnsi="Arial Narrow"/>
          <w:sz w:val="24"/>
          <w:szCs w:val="24"/>
        </w:rPr>
      </w:pPr>
      <w:r w:rsidRPr="00C27612">
        <w:rPr>
          <w:rFonts w:ascii="Arial Narrow" w:hAnsi="Arial Narrow"/>
          <w:sz w:val="24"/>
          <w:szCs w:val="24"/>
        </w:rPr>
        <w:t>Lancement</w:t>
      </w:r>
      <w:r>
        <w:rPr>
          <w:rFonts w:ascii="Arial Narrow" w:hAnsi="Arial Narrow"/>
          <w:sz w:val="24"/>
          <w:szCs w:val="24"/>
        </w:rPr>
        <w:t xml:space="preserve"> </w:t>
      </w:r>
      <w:r w:rsidRPr="00C27612">
        <w:rPr>
          <w:rFonts w:ascii="Arial Narrow" w:hAnsi="Arial Narrow"/>
          <w:sz w:val="24"/>
          <w:szCs w:val="24"/>
        </w:rPr>
        <w:t>OCASS</w:t>
      </w:r>
      <w:r>
        <w:rPr>
          <w:rFonts w:ascii="Arial Narrow" w:hAnsi="Arial Narrow"/>
          <w:sz w:val="24"/>
          <w:szCs w:val="24"/>
        </w:rPr>
        <w:t xml:space="preserve"> de la Société Civile</w:t>
      </w:r>
      <w:r w:rsidRPr="00C27612">
        <w:rPr>
          <w:rFonts w:ascii="Arial Narrow" w:hAnsi="Arial Narrow"/>
          <w:sz w:val="24"/>
          <w:szCs w:val="24"/>
        </w:rPr>
        <w:t xml:space="preserve"> 12 Octobre 2018</w:t>
      </w:r>
    </w:p>
    <w:p w14:paraId="02A46EE0" w14:textId="77777777" w:rsidR="000B3DD8" w:rsidRPr="00C27612" w:rsidRDefault="000B3DD8" w:rsidP="000B3DD8">
      <w:pPr>
        <w:pStyle w:val="Paragraphedeliste"/>
        <w:numPr>
          <w:ilvl w:val="0"/>
          <w:numId w:val="12"/>
        </w:numPr>
        <w:spacing w:after="0" w:line="240" w:lineRule="auto"/>
        <w:jc w:val="both"/>
        <w:rPr>
          <w:rFonts w:ascii="Arial Narrow" w:hAnsi="Arial Narrow"/>
          <w:sz w:val="24"/>
          <w:szCs w:val="24"/>
        </w:rPr>
      </w:pPr>
      <w:r w:rsidRPr="00C27612">
        <w:rPr>
          <w:rFonts w:ascii="Arial Narrow" w:hAnsi="Arial Narrow"/>
          <w:sz w:val="24"/>
          <w:szCs w:val="24"/>
        </w:rPr>
        <w:t xml:space="preserve">Modérateur </w:t>
      </w:r>
      <w:r>
        <w:rPr>
          <w:rFonts w:ascii="Arial Narrow" w:hAnsi="Arial Narrow"/>
          <w:sz w:val="24"/>
          <w:szCs w:val="24"/>
        </w:rPr>
        <w:t>d’un Atelier organisé par l’</w:t>
      </w:r>
      <w:r w:rsidRPr="00C27612">
        <w:rPr>
          <w:rFonts w:ascii="Arial Narrow" w:hAnsi="Arial Narrow"/>
          <w:sz w:val="24"/>
          <w:szCs w:val="24"/>
        </w:rPr>
        <w:t>OIM 10-11 Octobre 2018</w:t>
      </w:r>
    </w:p>
    <w:p w14:paraId="793E3574" w14:textId="77777777" w:rsidR="000B3DD8" w:rsidRPr="00C27612" w:rsidRDefault="000B3DD8" w:rsidP="000B3DD8">
      <w:pPr>
        <w:pStyle w:val="Paragraphedeliste"/>
        <w:numPr>
          <w:ilvl w:val="0"/>
          <w:numId w:val="12"/>
        </w:numPr>
        <w:spacing w:after="0" w:line="240" w:lineRule="auto"/>
        <w:jc w:val="both"/>
        <w:rPr>
          <w:rFonts w:ascii="Arial Narrow" w:hAnsi="Arial Narrow"/>
          <w:sz w:val="24"/>
          <w:szCs w:val="24"/>
        </w:rPr>
      </w:pPr>
      <w:r w:rsidRPr="00C27612">
        <w:rPr>
          <w:rFonts w:ascii="Arial Narrow" w:hAnsi="Arial Narrow"/>
          <w:sz w:val="24"/>
          <w:szCs w:val="24"/>
        </w:rPr>
        <w:t>Invitation au Vaccine expert inputs forum avec MSD (Dakar 14-15 Novembre 2018) Malheureusement, on n’a pas pu participer pour un conflit temps</w:t>
      </w:r>
    </w:p>
    <w:p w14:paraId="6295982E" w14:textId="77777777" w:rsidR="000B3DD8" w:rsidRPr="00C27612" w:rsidRDefault="000B3DD8" w:rsidP="000B3DD8">
      <w:pPr>
        <w:pStyle w:val="Paragraphedeliste"/>
        <w:numPr>
          <w:ilvl w:val="0"/>
          <w:numId w:val="12"/>
        </w:numPr>
        <w:spacing w:after="0" w:line="240" w:lineRule="auto"/>
        <w:jc w:val="both"/>
        <w:rPr>
          <w:rFonts w:ascii="Arial Narrow" w:hAnsi="Arial Narrow"/>
          <w:sz w:val="24"/>
          <w:szCs w:val="24"/>
        </w:rPr>
      </w:pPr>
      <w:r w:rsidRPr="00C27612">
        <w:rPr>
          <w:rFonts w:ascii="Arial Narrow" w:hAnsi="Arial Narrow"/>
          <w:sz w:val="24"/>
          <w:szCs w:val="24"/>
        </w:rPr>
        <w:t>Consultant (</w:t>
      </w:r>
      <w:proofErr w:type="spellStart"/>
      <w:r w:rsidRPr="00C27612">
        <w:rPr>
          <w:rFonts w:ascii="Arial Narrow" w:hAnsi="Arial Narrow"/>
          <w:sz w:val="24"/>
          <w:szCs w:val="24"/>
        </w:rPr>
        <w:t>Oct-Nov</w:t>
      </w:r>
      <w:proofErr w:type="spellEnd"/>
      <w:r w:rsidRPr="00C27612">
        <w:rPr>
          <w:rFonts w:ascii="Arial Narrow" w:hAnsi="Arial Narrow"/>
          <w:sz w:val="24"/>
          <w:szCs w:val="24"/>
        </w:rPr>
        <w:t xml:space="preserve"> 2018) pour le Forum national du Nouveau</w:t>
      </w:r>
      <w:r>
        <w:rPr>
          <w:rFonts w:ascii="Arial Narrow" w:hAnsi="Arial Narrow"/>
          <w:sz w:val="24"/>
          <w:szCs w:val="24"/>
        </w:rPr>
        <w:t>-</w:t>
      </w:r>
      <w:r w:rsidRPr="00C27612">
        <w:rPr>
          <w:rFonts w:ascii="Arial Narrow" w:hAnsi="Arial Narrow"/>
          <w:sz w:val="24"/>
          <w:szCs w:val="24"/>
        </w:rPr>
        <w:t>né tenu du 22-23 Novembre à l’Hôtel Sheraton à Conakry</w:t>
      </w:r>
    </w:p>
    <w:p w14:paraId="1FFC02FE" w14:textId="77777777" w:rsidR="000B3DD8" w:rsidRPr="00C27612" w:rsidRDefault="000B3DD8" w:rsidP="000B3DD8">
      <w:pPr>
        <w:pStyle w:val="Paragraphedeliste"/>
        <w:numPr>
          <w:ilvl w:val="0"/>
          <w:numId w:val="12"/>
        </w:numPr>
        <w:spacing w:after="0" w:line="240" w:lineRule="auto"/>
        <w:jc w:val="both"/>
        <w:rPr>
          <w:rFonts w:ascii="Arial Narrow" w:hAnsi="Arial Narrow"/>
          <w:sz w:val="24"/>
          <w:szCs w:val="24"/>
        </w:rPr>
      </w:pPr>
      <w:r w:rsidRPr="00C27612">
        <w:rPr>
          <w:rFonts w:ascii="Arial Narrow" w:hAnsi="Arial Narrow"/>
          <w:sz w:val="24"/>
          <w:szCs w:val="24"/>
        </w:rPr>
        <w:t xml:space="preserve">Semaine Africaine de la Science UGANC (3-7 Décembre 2018), modérateur d’une session « Quelle coopération scientifique pour la Guinée » </w:t>
      </w:r>
    </w:p>
    <w:p w14:paraId="220B7B6E" w14:textId="77777777" w:rsidR="000B3DD8" w:rsidRPr="00C27612" w:rsidRDefault="000B3DD8" w:rsidP="000B3DD8">
      <w:pPr>
        <w:pStyle w:val="Paragraphedeliste"/>
        <w:numPr>
          <w:ilvl w:val="0"/>
          <w:numId w:val="12"/>
        </w:numPr>
        <w:spacing w:after="0" w:line="240" w:lineRule="auto"/>
        <w:jc w:val="both"/>
        <w:rPr>
          <w:rFonts w:ascii="Arial Narrow" w:hAnsi="Arial Narrow"/>
          <w:sz w:val="24"/>
          <w:szCs w:val="24"/>
        </w:rPr>
      </w:pPr>
      <w:r w:rsidRPr="00C27612">
        <w:rPr>
          <w:rFonts w:ascii="Arial Narrow" w:hAnsi="Arial Narrow"/>
          <w:sz w:val="24"/>
          <w:szCs w:val="24"/>
        </w:rPr>
        <w:t>Participation à la 7</w:t>
      </w:r>
      <w:r w:rsidRPr="00C27612">
        <w:rPr>
          <w:rFonts w:ascii="Arial Narrow" w:hAnsi="Arial Narrow"/>
          <w:sz w:val="24"/>
          <w:szCs w:val="24"/>
          <w:vertAlign w:val="superscript"/>
        </w:rPr>
        <w:t>ème</w:t>
      </w:r>
      <w:r w:rsidRPr="00C27612">
        <w:rPr>
          <w:rFonts w:ascii="Arial Narrow" w:hAnsi="Arial Narrow"/>
          <w:sz w:val="24"/>
          <w:szCs w:val="24"/>
        </w:rPr>
        <w:t xml:space="preserve"> réunion annuelle du Partenariat de Ouagadougou (Dakar 12-14 Décembre 2018)</w:t>
      </w:r>
    </w:p>
    <w:p w14:paraId="2D8AE46F" w14:textId="77777777" w:rsidR="000B3DD8" w:rsidRPr="00C27612" w:rsidRDefault="000B3DD8" w:rsidP="000B3DD8">
      <w:pPr>
        <w:pStyle w:val="Paragraphedeliste"/>
        <w:numPr>
          <w:ilvl w:val="0"/>
          <w:numId w:val="12"/>
        </w:numPr>
        <w:spacing w:after="0" w:line="240" w:lineRule="auto"/>
        <w:jc w:val="both"/>
        <w:rPr>
          <w:rFonts w:ascii="Arial Narrow" w:hAnsi="Arial Narrow"/>
          <w:sz w:val="24"/>
          <w:szCs w:val="24"/>
        </w:rPr>
      </w:pPr>
      <w:r w:rsidRPr="00C27612">
        <w:rPr>
          <w:rFonts w:ascii="Arial Narrow" w:hAnsi="Arial Narrow"/>
          <w:sz w:val="24"/>
          <w:szCs w:val="24"/>
        </w:rPr>
        <w:t>Journée Mondiale de la Prématurité (INSE 17 Novembre 2018)</w:t>
      </w:r>
    </w:p>
    <w:p w14:paraId="446A3603" w14:textId="77777777" w:rsidR="000B3DD8" w:rsidRPr="00C27612" w:rsidRDefault="000B3DD8" w:rsidP="000B3DD8">
      <w:pPr>
        <w:pStyle w:val="Paragraphedeliste"/>
        <w:numPr>
          <w:ilvl w:val="0"/>
          <w:numId w:val="12"/>
        </w:numPr>
        <w:spacing w:after="0" w:line="240" w:lineRule="auto"/>
        <w:jc w:val="both"/>
        <w:rPr>
          <w:rFonts w:ascii="Arial Narrow" w:hAnsi="Arial Narrow"/>
          <w:sz w:val="24"/>
          <w:szCs w:val="24"/>
        </w:rPr>
      </w:pPr>
      <w:r w:rsidRPr="00C27612">
        <w:rPr>
          <w:rFonts w:ascii="Arial Narrow" w:hAnsi="Arial Narrow"/>
          <w:sz w:val="24"/>
          <w:szCs w:val="24"/>
        </w:rPr>
        <w:t>Consultant (</w:t>
      </w:r>
      <w:proofErr w:type="spellStart"/>
      <w:r w:rsidRPr="00C27612">
        <w:rPr>
          <w:rFonts w:ascii="Arial Narrow" w:hAnsi="Arial Narrow"/>
          <w:sz w:val="24"/>
          <w:szCs w:val="24"/>
        </w:rPr>
        <w:t>Nov-Dec</w:t>
      </w:r>
      <w:proofErr w:type="spellEnd"/>
      <w:r w:rsidRPr="00C27612">
        <w:rPr>
          <w:rFonts w:ascii="Arial Narrow" w:hAnsi="Arial Narrow"/>
          <w:sz w:val="24"/>
          <w:szCs w:val="24"/>
        </w:rPr>
        <w:t xml:space="preserve"> 2018) et organisateur de l’Atelier d’élaboration du Plan stratégique de l’INSP de Guinée 27-29 Décembre 2018 à Coyah.</w:t>
      </w:r>
    </w:p>
    <w:p w14:paraId="39A6FA11" w14:textId="77777777" w:rsidR="000B3DD8" w:rsidRPr="00C27612" w:rsidRDefault="000B3DD8" w:rsidP="000B3DD8">
      <w:pPr>
        <w:pStyle w:val="Paragraphedeliste"/>
        <w:numPr>
          <w:ilvl w:val="0"/>
          <w:numId w:val="12"/>
        </w:numPr>
        <w:spacing w:after="0" w:line="240" w:lineRule="auto"/>
        <w:jc w:val="both"/>
        <w:rPr>
          <w:rFonts w:ascii="Arial Narrow" w:hAnsi="Arial Narrow"/>
          <w:sz w:val="24"/>
          <w:szCs w:val="24"/>
        </w:rPr>
      </w:pPr>
      <w:r w:rsidRPr="00C27612">
        <w:rPr>
          <w:rFonts w:ascii="Arial Narrow" w:hAnsi="Arial Narrow"/>
          <w:sz w:val="24"/>
          <w:szCs w:val="24"/>
        </w:rPr>
        <w:t>Consultant national du Projet HFG</w:t>
      </w:r>
      <w:r>
        <w:rPr>
          <w:rFonts w:ascii="Arial Narrow" w:hAnsi="Arial Narrow"/>
          <w:sz w:val="24"/>
          <w:szCs w:val="24"/>
        </w:rPr>
        <w:t>/USAID</w:t>
      </w:r>
      <w:r w:rsidRPr="00C27612">
        <w:rPr>
          <w:rFonts w:ascii="Arial Narrow" w:hAnsi="Arial Narrow"/>
          <w:sz w:val="24"/>
          <w:szCs w:val="24"/>
        </w:rPr>
        <w:t xml:space="preserve"> pour la révision de la Politique Nationale sur la Recherche pour la Santé en Guinée</w:t>
      </w:r>
      <w:r>
        <w:rPr>
          <w:rFonts w:ascii="Arial Narrow" w:hAnsi="Arial Narrow"/>
          <w:sz w:val="24"/>
          <w:szCs w:val="24"/>
        </w:rPr>
        <w:t xml:space="preserve"> (2017)</w:t>
      </w:r>
      <w:r w:rsidRPr="00C27612">
        <w:rPr>
          <w:rFonts w:ascii="Arial Narrow" w:hAnsi="Arial Narrow"/>
          <w:sz w:val="24"/>
          <w:szCs w:val="24"/>
        </w:rPr>
        <w:t xml:space="preserve"> </w:t>
      </w:r>
    </w:p>
    <w:p w14:paraId="55D42402" w14:textId="77777777" w:rsidR="000B3DD8" w:rsidRPr="00C27612" w:rsidRDefault="000B3DD8" w:rsidP="000B3DD8">
      <w:pPr>
        <w:pStyle w:val="Paragraphedeliste"/>
        <w:numPr>
          <w:ilvl w:val="0"/>
          <w:numId w:val="12"/>
        </w:numPr>
        <w:spacing w:after="0" w:line="240" w:lineRule="auto"/>
        <w:jc w:val="both"/>
        <w:rPr>
          <w:rFonts w:ascii="Arial Narrow" w:hAnsi="Arial Narrow"/>
          <w:sz w:val="24"/>
          <w:szCs w:val="24"/>
        </w:rPr>
      </w:pPr>
      <w:r w:rsidRPr="00C27612">
        <w:rPr>
          <w:rFonts w:ascii="Arial Narrow" w:hAnsi="Arial Narrow"/>
          <w:sz w:val="24"/>
          <w:szCs w:val="24"/>
        </w:rPr>
        <w:t xml:space="preserve">A Londres pour la présentation du rapport final de l’étude faite par la US National </w:t>
      </w:r>
      <w:proofErr w:type="spellStart"/>
      <w:r w:rsidRPr="00C27612">
        <w:rPr>
          <w:rFonts w:ascii="Arial Narrow" w:hAnsi="Arial Narrow"/>
          <w:sz w:val="24"/>
          <w:szCs w:val="24"/>
        </w:rPr>
        <w:t>Accademy</w:t>
      </w:r>
      <w:proofErr w:type="spellEnd"/>
      <w:r w:rsidRPr="00C27612">
        <w:rPr>
          <w:rFonts w:ascii="Arial Narrow" w:hAnsi="Arial Narrow"/>
          <w:sz w:val="24"/>
          <w:szCs w:val="24"/>
        </w:rPr>
        <w:t xml:space="preserve"> of </w:t>
      </w:r>
      <w:proofErr w:type="spellStart"/>
      <w:r w:rsidRPr="00C27612">
        <w:rPr>
          <w:rFonts w:ascii="Arial Narrow" w:hAnsi="Arial Narrow"/>
          <w:sz w:val="24"/>
          <w:szCs w:val="24"/>
        </w:rPr>
        <w:t>Medecine</w:t>
      </w:r>
      <w:proofErr w:type="spellEnd"/>
      <w:r w:rsidRPr="00C27612">
        <w:rPr>
          <w:rFonts w:ascii="Arial Narrow" w:hAnsi="Arial Narrow"/>
          <w:sz w:val="24"/>
          <w:szCs w:val="24"/>
        </w:rPr>
        <w:t xml:space="preserve"> sur la recherche clinique au cours des épidémies (Septembre 2017)</w:t>
      </w:r>
    </w:p>
    <w:p w14:paraId="467645A8" w14:textId="77777777" w:rsidR="000B3DD8" w:rsidRPr="00C27612" w:rsidRDefault="000B3DD8" w:rsidP="000B3DD8">
      <w:pPr>
        <w:pStyle w:val="Paragraphedeliste"/>
        <w:numPr>
          <w:ilvl w:val="0"/>
          <w:numId w:val="12"/>
        </w:numPr>
        <w:spacing w:after="0" w:line="240" w:lineRule="auto"/>
        <w:jc w:val="both"/>
        <w:rPr>
          <w:rFonts w:ascii="Arial Narrow" w:hAnsi="Arial Narrow"/>
          <w:sz w:val="24"/>
          <w:szCs w:val="24"/>
        </w:rPr>
      </w:pPr>
      <w:r w:rsidRPr="00C27612">
        <w:rPr>
          <w:rFonts w:ascii="Arial Narrow" w:hAnsi="Arial Narrow"/>
          <w:sz w:val="24"/>
          <w:szCs w:val="24"/>
        </w:rPr>
        <w:t xml:space="preserve">La Réunion OMS sur la persistance virale dans le sperme des survivants Ébola “Ebola virus </w:t>
      </w:r>
      <w:proofErr w:type="spellStart"/>
      <w:r w:rsidRPr="00C27612">
        <w:rPr>
          <w:rFonts w:ascii="Arial Narrow" w:hAnsi="Arial Narrow"/>
          <w:sz w:val="24"/>
          <w:szCs w:val="24"/>
        </w:rPr>
        <w:t>persistence</w:t>
      </w:r>
      <w:proofErr w:type="spellEnd"/>
      <w:r w:rsidRPr="00C27612">
        <w:rPr>
          <w:rFonts w:ascii="Arial Narrow" w:hAnsi="Arial Narrow"/>
          <w:sz w:val="24"/>
          <w:szCs w:val="24"/>
        </w:rPr>
        <w:t xml:space="preserve"> </w:t>
      </w:r>
      <w:proofErr w:type="spellStart"/>
      <w:r w:rsidRPr="00C27612">
        <w:rPr>
          <w:rFonts w:ascii="Arial Narrow" w:hAnsi="Arial Narrow"/>
          <w:sz w:val="24"/>
          <w:szCs w:val="24"/>
        </w:rPr>
        <w:t>studies</w:t>
      </w:r>
      <w:proofErr w:type="spellEnd"/>
      <w:r w:rsidRPr="00C27612">
        <w:rPr>
          <w:rFonts w:ascii="Arial Narrow" w:hAnsi="Arial Narrow"/>
          <w:sz w:val="24"/>
          <w:szCs w:val="24"/>
        </w:rPr>
        <w:t xml:space="preserve"> and implications on public </w:t>
      </w:r>
      <w:proofErr w:type="spellStart"/>
      <w:r w:rsidRPr="00C27612">
        <w:rPr>
          <w:rFonts w:ascii="Arial Narrow" w:hAnsi="Arial Narrow"/>
          <w:sz w:val="24"/>
          <w:szCs w:val="24"/>
        </w:rPr>
        <w:t>health</w:t>
      </w:r>
      <w:proofErr w:type="spellEnd"/>
      <w:r w:rsidRPr="00C27612">
        <w:rPr>
          <w:rFonts w:ascii="Arial Narrow" w:hAnsi="Arial Narrow"/>
          <w:sz w:val="24"/>
          <w:szCs w:val="24"/>
        </w:rPr>
        <w:t xml:space="preserve"> </w:t>
      </w:r>
      <w:proofErr w:type="spellStart"/>
      <w:r w:rsidRPr="00C27612">
        <w:rPr>
          <w:rFonts w:ascii="Arial Narrow" w:hAnsi="Arial Narrow"/>
          <w:sz w:val="24"/>
          <w:szCs w:val="24"/>
        </w:rPr>
        <w:t>recommendations</w:t>
      </w:r>
      <w:proofErr w:type="spellEnd"/>
      <w:r w:rsidRPr="00C27612">
        <w:rPr>
          <w:rFonts w:ascii="Arial Narrow" w:hAnsi="Arial Narrow"/>
          <w:sz w:val="24"/>
          <w:szCs w:val="24"/>
        </w:rPr>
        <w:t>” 28-30 Juin 2017 – Monrovia, Liberia</w:t>
      </w:r>
    </w:p>
    <w:p w14:paraId="425B0B35" w14:textId="77777777" w:rsidR="000B3DD8" w:rsidRPr="00C27612" w:rsidRDefault="000B3DD8" w:rsidP="000B3DD8">
      <w:pPr>
        <w:pStyle w:val="Paragraphedeliste"/>
        <w:numPr>
          <w:ilvl w:val="0"/>
          <w:numId w:val="12"/>
        </w:numPr>
        <w:spacing w:after="0" w:line="240" w:lineRule="auto"/>
        <w:jc w:val="both"/>
        <w:rPr>
          <w:rFonts w:ascii="Arial Narrow" w:hAnsi="Arial Narrow"/>
          <w:sz w:val="24"/>
          <w:szCs w:val="24"/>
        </w:rPr>
      </w:pPr>
      <w:r w:rsidRPr="00C27612">
        <w:rPr>
          <w:rFonts w:ascii="Arial Narrow" w:hAnsi="Arial Narrow"/>
          <w:sz w:val="24"/>
          <w:szCs w:val="24"/>
        </w:rPr>
        <w:t>Président de FOSAD comme Point focal de la planification stratégique de la collaboration Guinée-NIH (2017)</w:t>
      </w:r>
    </w:p>
    <w:p w14:paraId="39C9CD8A" w14:textId="77777777" w:rsidR="000B3DD8" w:rsidRPr="00C27612" w:rsidRDefault="000B3DD8" w:rsidP="000B3DD8">
      <w:pPr>
        <w:pStyle w:val="Paragraphedeliste"/>
        <w:numPr>
          <w:ilvl w:val="0"/>
          <w:numId w:val="12"/>
        </w:numPr>
        <w:spacing w:after="0" w:line="240" w:lineRule="auto"/>
        <w:jc w:val="both"/>
        <w:rPr>
          <w:rFonts w:ascii="Arial Narrow" w:hAnsi="Arial Narrow"/>
          <w:sz w:val="24"/>
          <w:szCs w:val="24"/>
        </w:rPr>
      </w:pPr>
      <w:r w:rsidRPr="00C27612">
        <w:rPr>
          <w:rFonts w:ascii="Arial Narrow" w:hAnsi="Arial Narrow"/>
          <w:sz w:val="24"/>
          <w:szCs w:val="24"/>
        </w:rPr>
        <w:lastRenderedPageBreak/>
        <w:t>La Guinée a organisé à Conakry la 3</w:t>
      </w:r>
      <w:r w:rsidRPr="00C27612">
        <w:rPr>
          <w:rFonts w:ascii="Arial Narrow" w:hAnsi="Arial Narrow"/>
          <w:sz w:val="24"/>
          <w:szCs w:val="24"/>
          <w:vertAlign w:val="superscript"/>
        </w:rPr>
        <w:t>ème</w:t>
      </w:r>
      <w:r w:rsidRPr="00C27612">
        <w:rPr>
          <w:rFonts w:ascii="Arial Narrow" w:hAnsi="Arial Narrow"/>
          <w:sz w:val="24"/>
          <w:szCs w:val="24"/>
        </w:rPr>
        <w:t xml:space="preserve"> Conférence scientifique du Consortium sous régional de l’Afrique de l’Ouest sur la recherche clinique (7-9 Septembre 2017). Le Président de la FOSAD et Directeur exécutif du CEFORPAG a été le Président du Comité scientifique.</w:t>
      </w:r>
    </w:p>
    <w:p w14:paraId="0DDF0672" w14:textId="77777777" w:rsidR="000B3DD8" w:rsidRPr="00C27612" w:rsidRDefault="000B3DD8" w:rsidP="000B3DD8">
      <w:pPr>
        <w:pStyle w:val="Paragraphedeliste"/>
        <w:numPr>
          <w:ilvl w:val="0"/>
          <w:numId w:val="12"/>
        </w:numPr>
        <w:spacing w:after="0" w:line="240" w:lineRule="auto"/>
        <w:jc w:val="both"/>
        <w:rPr>
          <w:rFonts w:ascii="Arial Narrow" w:hAnsi="Arial Narrow"/>
          <w:sz w:val="24"/>
          <w:szCs w:val="24"/>
        </w:rPr>
      </w:pPr>
      <w:r w:rsidRPr="00C27612">
        <w:rPr>
          <w:rFonts w:ascii="Arial Narrow" w:hAnsi="Arial Narrow"/>
          <w:sz w:val="24"/>
          <w:szCs w:val="24"/>
        </w:rPr>
        <w:t xml:space="preserve">Réunion scientifique à Bamako sur la recherche clinique sur les maladies infectieuses émergeantes et inauguration du Centre de recherche clinique (UCRC) de l’Université des sciences et techniques du Mali (USTTB) avec l’appui du NIH. </w:t>
      </w:r>
    </w:p>
    <w:p w14:paraId="4006F8B0" w14:textId="77777777" w:rsidR="000B3DD8" w:rsidRPr="00C27612" w:rsidRDefault="000B3DD8" w:rsidP="000B3DD8">
      <w:pPr>
        <w:pStyle w:val="Paragraphedeliste"/>
        <w:numPr>
          <w:ilvl w:val="0"/>
          <w:numId w:val="12"/>
        </w:numPr>
        <w:spacing w:after="0" w:line="240" w:lineRule="auto"/>
        <w:jc w:val="both"/>
        <w:rPr>
          <w:rFonts w:ascii="Arial Narrow" w:hAnsi="Arial Narrow"/>
          <w:sz w:val="24"/>
          <w:szCs w:val="24"/>
        </w:rPr>
      </w:pPr>
      <w:r w:rsidRPr="00C27612">
        <w:rPr>
          <w:rFonts w:ascii="Arial Narrow" w:hAnsi="Arial Narrow"/>
          <w:sz w:val="24"/>
          <w:szCs w:val="24"/>
        </w:rPr>
        <w:t>Le Président du FOSAD a été désigné comme Rapporteur général de la 6</w:t>
      </w:r>
      <w:r w:rsidRPr="00C27612">
        <w:rPr>
          <w:rFonts w:ascii="Arial Narrow" w:hAnsi="Arial Narrow"/>
          <w:sz w:val="24"/>
          <w:szCs w:val="24"/>
          <w:vertAlign w:val="superscript"/>
        </w:rPr>
        <w:t>ème</w:t>
      </w:r>
      <w:r w:rsidRPr="00C27612">
        <w:rPr>
          <w:rFonts w:ascii="Arial Narrow" w:hAnsi="Arial Narrow"/>
          <w:sz w:val="24"/>
          <w:szCs w:val="24"/>
        </w:rPr>
        <w:t xml:space="preserve"> Réunion annuelle sur la planification familiale dans le cadre du Partenariat de Ouagadougou (RA2017PO) qui s’est tenu à Conakry du 11-13 Décembre 2017.</w:t>
      </w:r>
    </w:p>
    <w:p w14:paraId="667F5765" w14:textId="77777777" w:rsidR="000B3DD8" w:rsidRPr="00C27612" w:rsidRDefault="000B3DD8" w:rsidP="000B3DD8">
      <w:pPr>
        <w:pStyle w:val="Paragraphedeliste"/>
        <w:numPr>
          <w:ilvl w:val="0"/>
          <w:numId w:val="12"/>
        </w:numPr>
        <w:spacing w:after="0" w:line="240" w:lineRule="auto"/>
        <w:jc w:val="both"/>
        <w:rPr>
          <w:rFonts w:ascii="Arial Narrow" w:hAnsi="Arial Narrow"/>
          <w:sz w:val="24"/>
          <w:szCs w:val="24"/>
        </w:rPr>
      </w:pPr>
      <w:r w:rsidRPr="00C27612">
        <w:rPr>
          <w:rFonts w:ascii="Arial Narrow" w:hAnsi="Arial Narrow"/>
          <w:sz w:val="24"/>
          <w:szCs w:val="24"/>
        </w:rPr>
        <w:t>Consultant international pour l’élaboration du Plan stratégique nationale de recherche pour la santé du Sénégal (Janvier-Aout 2020)</w:t>
      </w:r>
      <w:r>
        <w:rPr>
          <w:rFonts w:ascii="Arial Narrow" w:hAnsi="Arial Narrow"/>
          <w:sz w:val="24"/>
          <w:szCs w:val="24"/>
        </w:rPr>
        <w:t>.</w:t>
      </w:r>
    </w:p>
    <w:p w14:paraId="630AE905" w14:textId="087AEFEB" w:rsidR="000B3DD8" w:rsidRDefault="000B3DD8"/>
    <w:p w14:paraId="53360BEB" w14:textId="77777777" w:rsidR="0014786C" w:rsidRPr="00D47A34" w:rsidRDefault="0014786C" w:rsidP="0014786C">
      <w:pPr>
        <w:pStyle w:val="Titre1"/>
        <w:numPr>
          <w:ilvl w:val="0"/>
          <w:numId w:val="6"/>
        </w:numPr>
        <w:spacing w:before="240" w:after="0" w:line="240" w:lineRule="auto"/>
        <w:rPr>
          <w:rStyle w:val="lev"/>
          <w:b/>
          <w:bCs/>
          <w:color w:val="0070C0"/>
        </w:rPr>
      </w:pPr>
      <w:bookmarkStart w:id="49" w:name="_Toc411577744"/>
      <w:bookmarkStart w:id="50" w:name="_Toc411595616"/>
      <w:bookmarkStart w:id="51" w:name="_Toc49631560"/>
      <w:bookmarkStart w:id="52" w:name="_Toc49632195"/>
      <w:r w:rsidRPr="00D47A34">
        <w:rPr>
          <w:rStyle w:val="lev"/>
          <w:b/>
          <w:bCs/>
          <w:color w:val="0070C0"/>
        </w:rPr>
        <w:t>SUBVENTIONS, SOUMISSIONS ET APPEL A PROJETS</w:t>
      </w:r>
      <w:bookmarkEnd w:id="49"/>
      <w:bookmarkEnd w:id="50"/>
      <w:bookmarkEnd w:id="51"/>
      <w:bookmarkEnd w:id="52"/>
    </w:p>
    <w:p w14:paraId="5B741BE6" w14:textId="77777777" w:rsidR="0014786C" w:rsidRPr="00D01AF2" w:rsidRDefault="0014786C" w:rsidP="0014786C">
      <w:pPr>
        <w:jc w:val="both"/>
        <w:rPr>
          <w:rFonts w:ascii="Arial Narrow" w:hAnsi="Arial Narrow"/>
        </w:rPr>
      </w:pPr>
      <w:r w:rsidRPr="00D01AF2">
        <w:rPr>
          <w:rFonts w:ascii="Arial Narrow" w:hAnsi="Arial Narrow"/>
        </w:rPr>
        <w:t>Suivant les recommandations du C</w:t>
      </w:r>
      <w:r>
        <w:rPr>
          <w:rFonts w:ascii="Arial Narrow" w:hAnsi="Arial Narrow"/>
        </w:rPr>
        <w:t xml:space="preserve">onseil d’administration de la FOASD </w:t>
      </w:r>
      <w:r w:rsidRPr="00D01AF2">
        <w:rPr>
          <w:rFonts w:ascii="Arial Narrow" w:hAnsi="Arial Narrow"/>
        </w:rPr>
        <w:t>un effort</w:t>
      </w:r>
      <w:r>
        <w:rPr>
          <w:rFonts w:ascii="Arial Narrow" w:hAnsi="Arial Narrow"/>
        </w:rPr>
        <w:t xml:space="preserve"> a été fait</w:t>
      </w:r>
      <w:r w:rsidRPr="00D01AF2">
        <w:rPr>
          <w:rFonts w:ascii="Arial Narrow" w:hAnsi="Arial Narrow"/>
        </w:rPr>
        <w:t xml:space="preserve"> pour soumissionner à des projets. Ainsi les projets suivants ont été soumis :</w:t>
      </w:r>
    </w:p>
    <w:p w14:paraId="105F251E" w14:textId="77777777" w:rsidR="0014786C" w:rsidRDefault="0014786C" w:rsidP="0014786C">
      <w:pPr>
        <w:pStyle w:val="Paragraphedeliste"/>
        <w:numPr>
          <w:ilvl w:val="0"/>
          <w:numId w:val="13"/>
        </w:numPr>
        <w:spacing w:after="0" w:line="240" w:lineRule="auto"/>
        <w:jc w:val="both"/>
        <w:rPr>
          <w:rFonts w:ascii="Arial Narrow" w:hAnsi="Arial Narrow"/>
        </w:rPr>
      </w:pPr>
      <w:r w:rsidRPr="00D01AF2">
        <w:rPr>
          <w:rFonts w:ascii="Arial Narrow" w:hAnsi="Arial Narrow"/>
        </w:rPr>
        <w:t>UNFPA (</w:t>
      </w:r>
      <w:r>
        <w:rPr>
          <w:rFonts w:ascii="Arial Narrow" w:hAnsi="Arial Narrow"/>
        </w:rPr>
        <w:t>Projet de 2 mois accepté, débuté Novembre-Décembre 2018) – (172 845 000 GNF) accepté</w:t>
      </w:r>
    </w:p>
    <w:p w14:paraId="2D1FAC38" w14:textId="77777777" w:rsidR="0014786C" w:rsidRPr="0070207E" w:rsidRDefault="0014786C" w:rsidP="0014786C">
      <w:pPr>
        <w:pStyle w:val="Paragraphedeliste"/>
        <w:numPr>
          <w:ilvl w:val="0"/>
          <w:numId w:val="13"/>
        </w:numPr>
        <w:spacing w:after="0" w:line="240" w:lineRule="auto"/>
        <w:jc w:val="both"/>
        <w:rPr>
          <w:rFonts w:ascii="Arial Narrow" w:hAnsi="Arial Narrow"/>
          <w:lang w:val="en-CA"/>
        </w:rPr>
      </w:pPr>
      <w:proofErr w:type="spellStart"/>
      <w:r w:rsidRPr="0070207E">
        <w:rPr>
          <w:rFonts w:ascii="Arial Narrow" w:hAnsi="Arial Narrow"/>
          <w:lang w:val="en-CA"/>
        </w:rPr>
        <w:t>Projet</w:t>
      </w:r>
      <w:proofErr w:type="spellEnd"/>
      <w:r w:rsidRPr="0070207E">
        <w:rPr>
          <w:rFonts w:ascii="Arial Narrow" w:hAnsi="Arial Narrow"/>
          <w:lang w:val="en-CA"/>
        </w:rPr>
        <w:t xml:space="preserve"> GCRF Safer Water and Hub (PHE, UK) </w:t>
      </w:r>
      <w:r>
        <w:rPr>
          <w:rFonts w:ascii="Arial Narrow" w:hAnsi="Arial Narrow"/>
          <w:lang w:val="en-CA"/>
        </w:rPr>
        <w:t xml:space="preserve">non </w:t>
      </w:r>
      <w:proofErr w:type="spellStart"/>
      <w:r>
        <w:rPr>
          <w:rFonts w:ascii="Arial Narrow" w:hAnsi="Arial Narrow"/>
          <w:lang w:val="en-CA"/>
        </w:rPr>
        <w:t>financé</w:t>
      </w:r>
      <w:proofErr w:type="spellEnd"/>
    </w:p>
    <w:p w14:paraId="331E9C4A" w14:textId="77777777" w:rsidR="0014786C" w:rsidRDefault="0014786C" w:rsidP="0014786C">
      <w:pPr>
        <w:pStyle w:val="Paragraphedeliste"/>
        <w:numPr>
          <w:ilvl w:val="0"/>
          <w:numId w:val="13"/>
        </w:numPr>
        <w:spacing w:after="0" w:line="240" w:lineRule="auto"/>
        <w:jc w:val="both"/>
        <w:rPr>
          <w:rFonts w:ascii="Arial Narrow" w:hAnsi="Arial Narrow"/>
        </w:rPr>
      </w:pPr>
      <w:r>
        <w:rPr>
          <w:rFonts w:ascii="Arial Narrow" w:hAnsi="Arial Narrow"/>
        </w:rPr>
        <w:t xml:space="preserve">CRDI Projet de recherche en science sociale et santé de 2 ans (FOSAD 183 500 / 360 000 $CAD) – accepté. </w:t>
      </w:r>
    </w:p>
    <w:p w14:paraId="385E8259" w14:textId="77777777" w:rsidR="0014786C" w:rsidRDefault="0014786C" w:rsidP="0014786C">
      <w:pPr>
        <w:pStyle w:val="Paragraphedeliste"/>
        <w:numPr>
          <w:ilvl w:val="0"/>
          <w:numId w:val="13"/>
        </w:numPr>
        <w:spacing w:after="0" w:line="240" w:lineRule="auto"/>
        <w:jc w:val="both"/>
        <w:rPr>
          <w:rFonts w:ascii="Arial Narrow" w:hAnsi="Arial Narrow"/>
        </w:rPr>
      </w:pPr>
      <w:r>
        <w:rPr>
          <w:rFonts w:ascii="Arial Narrow" w:hAnsi="Arial Narrow"/>
        </w:rPr>
        <w:t>Projet Frigo solaire du PEV (UNICEF, GAVI) sans succès</w:t>
      </w:r>
    </w:p>
    <w:p w14:paraId="1CBB6467" w14:textId="77777777" w:rsidR="0014786C" w:rsidRPr="00D01AF2" w:rsidRDefault="0014786C" w:rsidP="0014786C">
      <w:pPr>
        <w:pStyle w:val="Paragraphedeliste"/>
        <w:numPr>
          <w:ilvl w:val="0"/>
          <w:numId w:val="13"/>
        </w:numPr>
        <w:spacing w:after="0" w:line="240" w:lineRule="auto"/>
        <w:jc w:val="both"/>
        <w:rPr>
          <w:rFonts w:ascii="Arial Narrow" w:hAnsi="Arial Narrow"/>
        </w:rPr>
      </w:pPr>
      <w:r w:rsidRPr="00A527E0">
        <w:rPr>
          <w:rFonts w:ascii="Arial Narrow" w:hAnsi="Arial Narrow"/>
        </w:rPr>
        <w:t>CIHR   GLOBAL VACCINE LOGICS</w:t>
      </w:r>
      <w:r>
        <w:rPr>
          <w:rStyle w:val="Appelnotedebasdep"/>
          <w:rFonts w:ascii="Arial Narrow" w:hAnsi="Arial Narrow"/>
        </w:rPr>
        <w:footnoteReference w:id="8"/>
      </w:r>
    </w:p>
    <w:p w14:paraId="6F52B6A7" w14:textId="2716ABB0" w:rsidR="0014786C" w:rsidRDefault="0014786C"/>
    <w:p w14:paraId="5889548A" w14:textId="77777777" w:rsidR="0014786C" w:rsidRPr="009C56A8" w:rsidRDefault="0014786C" w:rsidP="0014786C">
      <w:pPr>
        <w:pStyle w:val="Titre1"/>
        <w:numPr>
          <w:ilvl w:val="0"/>
          <w:numId w:val="6"/>
        </w:numPr>
        <w:spacing w:before="240" w:after="0" w:line="240" w:lineRule="auto"/>
        <w:rPr>
          <w:rStyle w:val="lev"/>
          <w:b/>
          <w:bCs/>
          <w:color w:val="0070C0"/>
        </w:rPr>
      </w:pPr>
      <w:bookmarkStart w:id="53" w:name="_Toc49631561"/>
      <w:bookmarkStart w:id="54" w:name="_Toc49632196"/>
      <w:bookmarkStart w:id="55" w:name="_Toc411577745"/>
      <w:bookmarkStart w:id="56" w:name="_Toc411595617"/>
      <w:r w:rsidRPr="009C56A8">
        <w:rPr>
          <w:rStyle w:val="lev"/>
          <w:b/>
          <w:bCs/>
          <w:color w:val="0070C0"/>
        </w:rPr>
        <w:t>BILAN FINANCIER DE LA FOSAD</w:t>
      </w:r>
      <w:bookmarkEnd w:id="53"/>
      <w:bookmarkEnd w:id="54"/>
      <w:r w:rsidRPr="009C56A8">
        <w:rPr>
          <w:rStyle w:val="lev"/>
          <w:b/>
          <w:bCs/>
          <w:color w:val="0070C0"/>
        </w:rPr>
        <w:t xml:space="preserve"> </w:t>
      </w:r>
      <w:bookmarkEnd w:id="55"/>
      <w:bookmarkEnd w:id="56"/>
    </w:p>
    <w:p w14:paraId="277D2141" w14:textId="77777777" w:rsidR="0014786C" w:rsidRPr="00320F19" w:rsidRDefault="0014786C" w:rsidP="0014786C">
      <w:r>
        <w:t>Rapport Financier FOSAD 2018</w:t>
      </w:r>
    </w:p>
    <w:p w14:paraId="06717C67" w14:textId="77777777" w:rsidR="0014786C" w:rsidRPr="00320F19" w:rsidRDefault="0014786C" w:rsidP="0014786C">
      <w:pPr>
        <w:spacing w:after="0"/>
        <w:jc w:val="both"/>
        <w:rPr>
          <w:rFonts w:ascii="Arial Narrow" w:eastAsia="Times New Roman" w:hAnsi="Arial Narrow" w:cs="Times New Roman"/>
          <w:color w:val="000000"/>
          <w:lang w:eastAsia="fr-FR"/>
        </w:rPr>
      </w:pPr>
      <w:r w:rsidRPr="00D01AF2">
        <w:rPr>
          <w:rFonts w:ascii="Arial Narrow" w:eastAsia="Times New Roman" w:hAnsi="Arial Narrow" w:cs="Times New Roman"/>
          <w:color w:val="000000"/>
          <w:lang w:eastAsia="fr-FR"/>
        </w:rPr>
        <w:t>En conformité avec les principes et normes prescrites par</w:t>
      </w:r>
      <w:r w:rsidRPr="00D01AF2">
        <w:rPr>
          <w:rFonts w:ascii="Arial Narrow" w:hAnsi="Arial Narrow"/>
          <w:b/>
          <w:sz w:val="28"/>
        </w:rPr>
        <w:t xml:space="preserve"> </w:t>
      </w:r>
      <w:r w:rsidRPr="00D01AF2">
        <w:rPr>
          <w:rFonts w:ascii="Arial Narrow" w:eastAsia="Times New Roman" w:hAnsi="Arial Narrow" w:cs="Times New Roman"/>
          <w:color w:val="000000"/>
          <w:lang w:eastAsia="fr-FR"/>
        </w:rPr>
        <w:t>OHADA (Organisation pour l’harmonisation en Afrique du Droit des Affaires) les états financiers de la FOSAD couvrant la période du 01 Janvie</w:t>
      </w:r>
      <w:r>
        <w:rPr>
          <w:rFonts w:ascii="Arial Narrow" w:eastAsia="Times New Roman" w:hAnsi="Arial Narrow" w:cs="Times New Roman"/>
          <w:color w:val="000000"/>
          <w:lang w:eastAsia="fr-FR"/>
        </w:rPr>
        <w:t xml:space="preserve">r au 31 Décembre 2018 </w:t>
      </w:r>
      <w:r w:rsidRPr="00D01AF2">
        <w:rPr>
          <w:rFonts w:ascii="Arial Narrow" w:eastAsia="Times New Roman" w:hAnsi="Arial Narrow" w:cs="Times New Roman"/>
          <w:color w:val="000000"/>
          <w:lang w:eastAsia="fr-FR"/>
        </w:rPr>
        <w:t>se présentent comme ci-dessous :</w:t>
      </w:r>
    </w:p>
    <w:p w14:paraId="4ABE4153" w14:textId="77777777" w:rsidR="0014786C" w:rsidRPr="00AE4C9D" w:rsidRDefault="0014786C" w:rsidP="0014786C">
      <w:pPr>
        <w:jc w:val="both"/>
        <w:rPr>
          <w:rFonts w:ascii="Arial Narrow" w:hAnsi="Arial Narrow"/>
          <w:b/>
          <w:sz w:val="4"/>
        </w:rPr>
      </w:pPr>
    </w:p>
    <w:tbl>
      <w:tblPr>
        <w:tblStyle w:val="TableauListe7Couleur-Accentuation31"/>
        <w:tblW w:w="7083" w:type="dxa"/>
        <w:tblLook w:val="04A0" w:firstRow="1" w:lastRow="0" w:firstColumn="1" w:lastColumn="0" w:noHBand="0" w:noVBand="1"/>
      </w:tblPr>
      <w:tblGrid>
        <w:gridCol w:w="3539"/>
        <w:gridCol w:w="1843"/>
        <w:gridCol w:w="1701"/>
      </w:tblGrid>
      <w:tr w:rsidR="0014786C" w:rsidRPr="00586449" w14:paraId="50288F4C" w14:textId="77777777" w:rsidTr="00A51E14">
        <w:trPr>
          <w:cnfStyle w:val="100000000000" w:firstRow="1" w:lastRow="0" w:firstColumn="0" w:lastColumn="0" w:oddVBand="0" w:evenVBand="0" w:oddHBand="0" w:evenHBand="0" w:firstRowFirstColumn="0" w:firstRowLastColumn="0" w:lastRowFirstColumn="0" w:lastRowLastColumn="0"/>
          <w:trHeight w:val="326"/>
        </w:trPr>
        <w:tc>
          <w:tcPr>
            <w:cnfStyle w:val="001000000100" w:firstRow="0" w:lastRow="0" w:firstColumn="1" w:lastColumn="0" w:oddVBand="0" w:evenVBand="0" w:oddHBand="0" w:evenHBand="0" w:firstRowFirstColumn="1" w:firstRowLastColumn="0" w:lastRowFirstColumn="0" w:lastRowLastColumn="0"/>
            <w:tcW w:w="3539" w:type="dxa"/>
            <w:tcBorders>
              <w:top w:val="single" w:sz="4" w:space="0" w:color="auto"/>
              <w:left w:val="single" w:sz="4" w:space="0" w:color="auto"/>
              <w:bottom w:val="single" w:sz="4" w:space="0" w:color="auto"/>
              <w:right w:val="single" w:sz="4" w:space="0" w:color="auto"/>
            </w:tcBorders>
            <w:noWrap/>
            <w:hideMark/>
          </w:tcPr>
          <w:p w14:paraId="7FDCF90C" w14:textId="77777777" w:rsidR="0014786C" w:rsidRPr="00586449" w:rsidRDefault="0014786C" w:rsidP="00A51E14">
            <w:pPr>
              <w:jc w:val="center"/>
              <w:rPr>
                <w:rFonts w:ascii="Arial Narrow" w:eastAsia="Times New Roman" w:hAnsi="Arial Narrow" w:cs="Times New Roman"/>
                <w:b/>
                <w:bCs/>
                <w:color w:val="000000"/>
                <w:sz w:val="18"/>
                <w:szCs w:val="16"/>
                <w:lang w:val="fr-CA" w:eastAsia="fr-CA"/>
              </w:rPr>
            </w:pPr>
            <w:r w:rsidRPr="00586449">
              <w:rPr>
                <w:rFonts w:ascii="Arial Narrow" w:eastAsia="Times New Roman" w:hAnsi="Arial Narrow" w:cs="Times New Roman"/>
                <w:b/>
                <w:bCs/>
                <w:color w:val="000000"/>
                <w:sz w:val="18"/>
                <w:szCs w:val="16"/>
                <w:lang w:val="fr-CA" w:eastAsia="fr-CA"/>
              </w:rPr>
              <w:t>DESIGNATION</w:t>
            </w:r>
          </w:p>
        </w:tc>
        <w:tc>
          <w:tcPr>
            <w:tcW w:w="1843" w:type="dxa"/>
            <w:tcBorders>
              <w:top w:val="single" w:sz="4" w:space="0" w:color="auto"/>
              <w:left w:val="single" w:sz="4" w:space="0" w:color="auto"/>
              <w:bottom w:val="single" w:sz="4" w:space="0" w:color="auto"/>
              <w:right w:val="single" w:sz="4" w:space="0" w:color="auto"/>
            </w:tcBorders>
            <w:noWrap/>
            <w:hideMark/>
          </w:tcPr>
          <w:p w14:paraId="5B4B30C7" w14:textId="77777777" w:rsidR="0014786C" w:rsidRPr="00586449" w:rsidRDefault="0014786C" w:rsidP="00A51E1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18"/>
                <w:szCs w:val="16"/>
                <w:lang w:val="fr-CA" w:eastAsia="fr-CA"/>
              </w:rPr>
            </w:pPr>
            <w:r w:rsidRPr="00586449">
              <w:rPr>
                <w:rFonts w:ascii="Arial Narrow" w:eastAsia="Times New Roman" w:hAnsi="Arial Narrow" w:cs="Times New Roman"/>
                <w:b/>
                <w:bCs/>
                <w:color w:val="000000"/>
                <w:sz w:val="18"/>
                <w:szCs w:val="16"/>
                <w:lang w:val="fr-CA" w:eastAsia="fr-CA"/>
              </w:rPr>
              <w:t>MONTANT GNF</w:t>
            </w:r>
          </w:p>
        </w:tc>
        <w:tc>
          <w:tcPr>
            <w:tcW w:w="1701" w:type="dxa"/>
            <w:tcBorders>
              <w:top w:val="single" w:sz="4" w:space="0" w:color="auto"/>
              <w:left w:val="single" w:sz="4" w:space="0" w:color="auto"/>
              <w:bottom w:val="single" w:sz="4" w:space="0" w:color="auto"/>
              <w:right w:val="single" w:sz="4" w:space="0" w:color="auto"/>
            </w:tcBorders>
            <w:hideMark/>
          </w:tcPr>
          <w:p w14:paraId="6E9B2007" w14:textId="77777777" w:rsidR="0014786C" w:rsidRPr="00586449" w:rsidRDefault="0014786C" w:rsidP="00A51E1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18"/>
                <w:szCs w:val="16"/>
                <w:lang w:val="fr-CA" w:eastAsia="fr-CA"/>
              </w:rPr>
            </w:pPr>
            <w:r w:rsidRPr="00586449">
              <w:rPr>
                <w:rFonts w:ascii="Arial Narrow" w:eastAsia="Times New Roman" w:hAnsi="Arial Narrow" w:cs="Times New Roman"/>
                <w:b/>
                <w:bCs/>
                <w:color w:val="000000"/>
                <w:sz w:val="18"/>
                <w:szCs w:val="16"/>
                <w:lang w:val="fr-CA" w:eastAsia="fr-CA"/>
              </w:rPr>
              <w:t>MONTANT USD</w:t>
            </w:r>
          </w:p>
        </w:tc>
      </w:tr>
      <w:tr w:rsidR="0014786C" w:rsidRPr="00586449" w14:paraId="28183006" w14:textId="77777777" w:rsidTr="00A51E1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noWrap/>
            <w:hideMark/>
          </w:tcPr>
          <w:p w14:paraId="3F0E4009" w14:textId="77777777" w:rsidR="0014786C" w:rsidRPr="00586449" w:rsidRDefault="0014786C" w:rsidP="00A51E14">
            <w:pPr>
              <w:jc w:val="left"/>
              <w:rPr>
                <w:rFonts w:ascii="Arial Narrow" w:eastAsia="Times New Roman" w:hAnsi="Arial Narrow" w:cs="Times New Roman"/>
                <w:b/>
                <w:bCs/>
                <w:color w:val="000000"/>
                <w:sz w:val="18"/>
                <w:szCs w:val="16"/>
                <w:lang w:val="fr-CA" w:eastAsia="fr-CA"/>
              </w:rPr>
            </w:pPr>
            <w:r w:rsidRPr="00586449">
              <w:rPr>
                <w:rFonts w:ascii="Arial Narrow" w:eastAsia="Times New Roman" w:hAnsi="Arial Narrow" w:cs="Times New Roman"/>
                <w:b/>
                <w:bCs/>
                <w:color w:val="000000"/>
                <w:sz w:val="18"/>
                <w:szCs w:val="16"/>
                <w:lang w:val="fr-CA" w:eastAsia="fr-CA"/>
              </w:rPr>
              <w:t>TOTAL GENERAL ACTIF</w:t>
            </w:r>
          </w:p>
        </w:tc>
        <w:tc>
          <w:tcPr>
            <w:tcW w:w="1843" w:type="dxa"/>
            <w:tcBorders>
              <w:top w:val="single" w:sz="4" w:space="0" w:color="auto"/>
              <w:left w:val="single" w:sz="4" w:space="0" w:color="auto"/>
              <w:bottom w:val="single" w:sz="4" w:space="0" w:color="auto"/>
              <w:right w:val="single" w:sz="4" w:space="0" w:color="auto"/>
            </w:tcBorders>
            <w:noWrap/>
            <w:hideMark/>
          </w:tcPr>
          <w:p w14:paraId="20BB628D" w14:textId="77777777" w:rsidR="0014786C" w:rsidRPr="00586449" w:rsidRDefault="0014786C" w:rsidP="00A51E1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sz w:val="18"/>
                <w:szCs w:val="16"/>
                <w:lang w:val="fr-CA" w:eastAsia="fr-CA"/>
              </w:rPr>
            </w:pPr>
            <w:r w:rsidRPr="00586449">
              <w:rPr>
                <w:rFonts w:ascii="Arial Narrow" w:eastAsia="Times New Roman" w:hAnsi="Arial Narrow" w:cs="Times New Roman"/>
                <w:b/>
                <w:bCs/>
                <w:color w:val="000000"/>
                <w:sz w:val="18"/>
                <w:szCs w:val="16"/>
                <w:lang w:val="fr-CA" w:eastAsia="fr-CA"/>
              </w:rPr>
              <w:t>2 137 868 046</w:t>
            </w:r>
          </w:p>
        </w:tc>
        <w:tc>
          <w:tcPr>
            <w:tcW w:w="1701" w:type="dxa"/>
            <w:tcBorders>
              <w:top w:val="single" w:sz="4" w:space="0" w:color="auto"/>
              <w:left w:val="single" w:sz="4" w:space="0" w:color="auto"/>
              <w:bottom w:val="single" w:sz="4" w:space="0" w:color="auto"/>
              <w:right w:val="single" w:sz="4" w:space="0" w:color="auto"/>
            </w:tcBorders>
            <w:noWrap/>
            <w:hideMark/>
          </w:tcPr>
          <w:p w14:paraId="4FC0876D" w14:textId="77777777" w:rsidR="0014786C" w:rsidRPr="00586449" w:rsidRDefault="0014786C" w:rsidP="00A51E1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232 377</w:t>
            </w:r>
          </w:p>
        </w:tc>
      </w:tr>
      <w:tr w:rsidR="0014786C" w:rsidRPr="00586449" w14:paraId="084A23D9" w14:textId="77777777" w:rsidTr="00A51E14">
        <w:trPr>
          <w:trHeight w:val="238"/>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right w:val="single" w:sz="4" w:space="0" w:color="auto"/>
            </w:tcBorders>
            <w:noWrap/>
            <w:hideMark/>
          </w:tcPr>
          <w:p w14:paraId="42F71E56" w14:textId="77777777" w:rsidR="0014786C" w:rsidRPr="00586449" w:rsidRDefault="0014786C" w:rsidP="00A51E14">
            <w:pPr>
              <w:jc w:val="left"/>
              <w:rPr>
                <w:rFonts w:ascii="Arial Narrow" w:eastAsia="Times New Roman" w:hAnsi="Arial Narrow" w:cs="Times New Roman"/>
                <w:b/>
                <w:bCs/>
                <w:color w:val="000000"/>
                <w:sz w:val="18"/>
                <w:szCs w:val="16"/>
                <w:lang w:val="fr-CA" w:eastAsia="fr-CA"/>
              </w:rPr>
            </w:pPr>
            <w:r w:rsidRPr="00586449">
              <w:rPr>
                <w:rFonts w:ascii="Arial Narrow" w:eastAsia="Times New Roman" w:hAnsi="Arial Narrow" w:cs="Times New Roman"/>
                <w:b/>
                <w:bCs/>
                <w:color w:val="000000"/>
                <w:sz w:val="18"/>
                <w:szCs w:val="16"/>
                <w:lang w:val="fr-CA" w:eastAsia="fr-CA"/>
              </w:rPr>
              <w:t>Report à nouveau</w:t>
            </w:r>
          </w:p>
        </w:tc>
        <w:tc>
          <w:tcPr>
            <w:tcW w:w="1843" w:type="dxa"/>
            <w:tcBorders>
              <w:top w:val="single" w:sz="4" w:space="0" w:color="auto"/>
              <w:left w:val="single" w:sz="4" w:space="0" w:color="auto"/>
              <w:right w:val="single" w:sz="4" w:space="0" w:color="auto"/>
            </w:tcBorders>
            <w:noWrap/>
            <w:hideMark/>
          </w:tcPr>
          <w:p w14:paraId="1D53A003" w14:textId="77777777" w:rsidR="0014786C" w:rsidRPr="00586449" w:rsidRDefault="0014786C" w:rsidP="00A51E1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18"/>
                <w:szCs w:val="16"/>
                <w:lang w:val="fr-CA" w:eastAsia="fr-CA"/>
              </w:rPr>
            </w:pPr>
            <w:r w:rsidRPr="00586449">
              <w:rPr>
                <w:rFonts w:ascii="Arial Narrow" w:eastAsia="Times New Roman" w:hAnsi="Arial Narrow" w:cs="Times New Roman"/>
                <w:b/>
                <w:bCs/>
                <w:color w:val="000000"/>
                <w:sz w:val="18"/>
                <w:szCs w:val="16"/>
                <w:lang w:val="fr-CA" w:eastAsia="fr-CA"/>
              </w:rPr>
              <w:t>179 397 433</w:t>
            </w:r>
          </w:p>
        </w:tc>
        <w:tc>
          <w:tcPr>
            <w:tcW w:w="1701" w:type="dxa"/>
            <w:tcBorders>
              <w:top w:val="single" w:sz="4" w:space="0" w:color="auto"/>
              <w:left w:val="single" w:sz="4" w:space="0" w:color="auto"/>
              <w:right w:val="single" w:sz="4" w:space="0" w:color="auto"/>
            </w:tcBorders>
            <w:noWrap/>
            <w:hideMark/>
          </w:tcPr>
          <w:p w14:paraId="2C2E539B" w14:textId="77777777" w:rsidR="0014786C" w:rsidRPr="00586449" w:rsidRDefault="0014786C" w:rsidP="00A51E1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19 500</w:t>
            </w:r>
          </w:p>
        </w:tc>
      </w:tr>
      <w:tr w:rsidR="0014786C" w:rsidRPr="00586449" w14:paraId="3D153EF7" w14:textId="77777777" w:rsidTr="00A51E1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noWrap/>
            <w:hideMark/>
          </w:tcPr>
          <w:p w14:paraId="1F4DFAB3" w14:textId="77777777" w:rsidR="0014786C" w:rsidRPr="00586449" w:rsidRDefault="0014786C" w:rsidP="00A51E14">
            <w:pPr>
              <w:jc w:val="left"/>
              <w:rPr>
                <w:rFonts w:ascii="Arial Narrow" w:eastAsia="Times New Roman" w:hAnsi="Arial Narrow" w:cs="Times New Roman"/>
                <w:b/>
                <w:bCs/>
                <w:color w:val="000000"/>
                <w:sz w:val="18"/>
                <w:szCs w:val="16"/>
                <w:lang w:val="fr-CA" w:eastAsia="fr-CA"/>
              </w:rPr>
            </w:pPr>
            <w:r w:rsidRPr="00586449">
              <w:rPr>
                <w:rFonts w:ascii="Arial Narrow" w:eastAsia="Times New Roman" w:hAnsi="Arial Narrow" w:cs="Times New Roman"/>
                <w:b/>
                <w:bCs/>
                <w:color w:val="000000"/>
                <w:sz w:val="18"/>
                <w:szCs w:val="16"/>
                <w:lang w:val="fr-CA" w:eastAsia="fr-CA"/>
              </w:rPr>
              <w:t>Actif immobilisé</w:t>
            </w:r>
          </w:p>
        </w:tc>
        <w:tc>
          <w:tcPr>
            <w:tcW w:w="1843" w:type="dxa"/>
            <w:tcBorders>
              <w:left w:val="single" w:sz="4" w:space="0" w:color="auto"/>
              <w:right w:val="single" w:sz="4" w:space="0" w:color="auto"/>
            </w:tcBorders>
            <w:noWrap/>
            <w:hideMark/>
          </w:tcPr>
          <w:p w14:paraId="0D9767B8" w14:textId="77777777" w:rsidR="0014786C" w:rsidRPr="00586449" w:rsidRDefault="0014786C" w:rsidP="00A51E1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sz w:val="18"/>
                <w:szCs w:val="16"/>
                <w:lang w:val="fr-CA" w:eastAsia="fr-CA"/>
              </w:rPr>
            </w:pPr>
            <w:r w:rsidRPr="00586449">
              <w:rPr>
                <w:rFonts w:ascii="Arial Narrow" w:eastAsia="Times New Roman" w:hAnsi="Arial Narrow" w:cs="Times New Roman"/>
                <w:b/>
                <w:bCs/>
                <w:color w:val="000000"/>
                <w:sz w:val="18"/>
                <w:szCs w:val="16"/>
                <w:lang w:val="fr-CA" w:eastAsia="fr-CA"/>
              </w:rPr>
              <w:t>856 071 340</w:t>
            </w:r>
          </w:p>
        </w:tc>
        <w:tc>
          <w:tcPr>
            <w:tcW w:w="1701" w:type="dxa"/>
            <w:tcBorders>
              <w:left w:val="single" w:sz="4" w:space="0" w:color="auto"/>
              <w:right w:val="single" w:sz="4" w:space="0" w:color="auto"/>
            </w:tcBorders>
            <w:noWrap/>
            <w:hideMark/>
          </w:tcPr>
          <w:p w14:paraId="0472A449" w14:textId="77777777" w:rsidR="0014786C" w:rsidRPr="00586449" w:rsidRDefault="0014786C" w:rsidP="00A51E1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93 051</w:t>
            </w:r>
          </w:p>
        </w:tc>
      </w:tr>
      <w:tr w:rsidR="0014786C" w:rsidRPr="00586449" w14:paraId="58029BF0" w14:textId="77777777" w:rsidTr="00A51E14">
        <w:trPr>
          <w:trHeight w:val="330"/>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noWrap/>
            <w:hideMark/>
          </w:tcPr>
          <w:p w14:paraId="731D5747" w14:textId="77777777" w:rsidR="0014786C" w:rsidRPr="00586449" w:rsidRDefault="0014786C" w:rsidP="00A51E14">
            <w:pPr>
              <w:jc w:val="left"/>
              <w:rPr>
                <w:rFonts w:ascii="Arial Narrow" w:eastAsia="Times New Roman" w:hAnsi="Arial Narrow" w:cs="Times New Roman"/>
                <w:b/>
                <w:bCs/>
                <w:color w:val="000000"/>
                <w:sz w:val="18"/>
                <w:szCs w:val="16"/>
                <w:lang w:val="fr-CA" w:eastAsia="fr-CA"/>
              </w:rPr>
            </w:pPr>
            <w:r w:rsidRPr="00586449">
              <w:rPr>
                <w:rFonts w:ascii="Arial Narrow" w:eastAsia="Times New Roman" w:hAnsi="Arial Narrow" w:cs="Times New Roman"/>
                <w:b/>
                <w:bCs/>
                <w:color w:val="000000"/>
                <w:sz w:val="18"/>
                <w:szCs w:val="16"/>
                <w:lang w:val="fr-CA" w:eastAsia="fr-CA"/>
              </w:rPr>
              <w:t>Actif financier</w:t>
            </w:r>
          </w:p>
        </w:tc>
        <w:tc>
          <w:tcPr>
            <w:tcW w:w="1843" w:type="dxa"/>
            <w:tcBorders>
              <w:left w:val="single" w:sz="4" w:space="0" w:color="auto"/>
              <w:right w:val="single" w:sz="4" w:space="0" w:color="auto"/>
            </w:tcBorders>
            <w:noWrap/>
            <w:hideMark/>
          </w:tcPr>
          <w:p w14:paraId="47AA3EEC" w14:textId="77777777" w:rsidR="0014786C" w:rsidRPr="00586449" w:rsidRDefault="0014786C" w:rsidP="00A51E1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18"/>
                <w:szCs w:val="16"/>
                <w:lang w:val="fr-CA" w:eastAsia="fr-CA"/>
              </w:rPr>
            </w:pPr>
            <w:r w:rsidRPr="00586449">
              <w:rPr>
                <w:rFonts w:ascii="Arial Narrow" w:eastAsia="Times New Roman" w:hAnsi="Arial Narrow" w:cs="Times New Roman"/>
                <w:b/>
                <w:bCs/>
                <w:color w:val="000000"/>
                <w:sz w:val="18"/>
                <w:szCs w:val="16"/>
                <w:lang w:val="fr-CA" w:eastAsia="fr-CA"/>
              </w:rPr>
              <w:t>800 000</w:t>
            </w:r>
          </w:p>
        </w:tc>
        <w:tc>
          <w:tcPr>
            <w:tcW w:w="1701" w:type="dxa"/>
            <w:tcBorders>
              <w:left w:val="single" w:sz="4" w:space="0" w:color="auto"/>
              <w:right w:val="single" w:sz="4" w:space="0" w:color="auto"/>
            </w:tcBorders>
            <w:noWrap/>
            <w:hideMark/>
          </w:tcPr>
          <w:p w14:paraId="693CAE96" w14:textId="77777777" w:rsidR="0014786C" w:rsidRPr="00586449" w:rsidRDefault="0014786C" w:rsidP="00A51E1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87</w:t>
            </w:r>
          </w:p>
        </w:tc>
      </w:tr>
      <w:tr w:rsidR="0014786C" w:rsidRPr="00586449" w14:paraId="02D524CF" w14:textId="77777777" w:rsidTr="00A51E14">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noWrap/>
            <w:hideMark/>
          </w:tcPr>
          <w:p w14:paraId="77253228" w14:textId="77777777" w:rsidR="0014786C" w:rsidRPr="00586449" w:rsidRDefault="0014786C" w:rsidP="00A51E14">
            <w:pPr>
              <w:jc w:val="left"/>
              <w:rPr>
                <w:rFonts w:ascii="Arial Narrow" w:eastAsia="Times New Roman" w:hAnsi="Arial Narrow" w:cs="Times New Roman"/>
                <w:b/>
                <w:bCs/>
                <w:color w:val="000000"/>
                <w:sz w:val="18"/>
                <w:szCs w:val="16"/>
                <w:lang w:val="fr-CA" w:eastAsia="fr-CA"/>
              </w:rPr>
            </w:pPr>
            <w:r w:rsidRPr="00586449">
              <w:rPr>
                <w:rFonts w:ascii="Arial Narrow" w:eastAsia="Times New Roman" w:hAnsi="Arial Narrow" w:cs="Times New Roman"/>
                <w:b/>
                <w:bCs/>
                <w:color w:val="000000"/>
                <w:sz w:val="18"/>
                <w:szCs w:val="16"/>
                <w:lang w:val="fr-CA" w:eastAsia="fr-CA"/>
              </w:rPr>
              <w:t>Actif circulant</w:t>
            </w:r>
          </w:p>
        </w:tc>
        <w:tc>
          <w:tcPr>
            <w:tcW w:w="1843" w:type="dxa"/>
            <w:tcBorders>
              <w:left w:val="single" w:sz="4" w:space="0" w:color="auto"/>
              <w:right w:val="single" w:sz="4" w:space="0" w:color="auto"/>
            </w:tcBorders>
            <w:noWrap/>
            <w:hideMark/>
          </w:tcPr>
          <w:p w14:paraId="69021EEA" w14:textId="77777777" w:rsidR="0014786C" w:rsidRPr="00586449" w:rsidRDefault="0014786C" w:rsidP="00A51E1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sz w:val="18"/>
                <w:szCs w:val="16"/>
                <w:lang w:val="fr-CA" w:eastAsia="fr-CA"/>
              </w:rPr>
            </w:pPr>
            <w:r w:rsidRPr="00586449">
              <w:rPr>
                <w:rFonts w:ascii="Arial Narrow" w:eastAsia="Times New Roman" w:hAnsi="Arial Narrow" w:cs="Times New Roman"/>
                <w:b/>
                <w:bCs/>
                <w:color w:val="000000"/>
                <w:sz w:val="18"/>
                <w:szCs w:val="16"/>
                <w:lang w:val="fr-CA" w:eastAsia="fr-CA"/>
              </w:rPr>
              <w:t>22 623 171</w:t>
            </w:r>
          </w:p>
        </w:tc>
        <w:tc>
          <w:tcPr>
            <w:tcW w:w="1701" w:type="dxa"/>
            <w:tcBorders>
              <w:left w:val="single" w:sz="4" w:space="0" w:color="auto"/>
              <w:right w:val="single" w:sz="4" w:space="0" w:color="auto"/>
            </w:tcBorders>
            <w:noWrap/>
            <w:hideMark/>
          </w:tcPr>
          <w:p w14:paraId="1168F6EA" w14:textId="77777777" w:rsidR="0014786C" w:rsidRPr="00586449" w:rsidRDefault="0014786C" w:rsidP="00A51E1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2 459</w:t>
            </w:r>
          </w:p>
        </w:tc>
      </w:tr>
      <w:tr w:rsidR="0014786C" w:rsidRPr="00586449" w14:paraId="2FA1E6AB" w14:textId="77777777" w:rsidTr="00A51E14">
        <w:trPr>
          <w:trHeight w:val="270"/>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noWrap/>
            <w:hideMark/>
          </w:tcPr>
          <w:p w14:paraId="45F1DCB6" w14:textId="77777777" w:rsidR="0014786C" w:rsidRPr="00586449" w:rsidRDefault="0014786C" w:rsidP="00A51E14">
            <w:pPr>
              <w:jc w:val="left"/>
              <w:rPr>
                <w:rFonts w:ascii="Arial Narrow" w:eastAsia="Times New Roman" w:hAnsi="Arial Narrow" w:cs="Times New Roman"/>
                <w:b/>
                <w:bCs/>
                <w:color w:val="000000"/>
                <w:sz w:val="18"/>
                <w:szCs w:val="16"/>
                <w:lang w:val="fr-CA" w:eastAsia="fr-CA"/>
              </w:rPr>
            </w:pPr>
            <w:r w:rsidRPr="00586449">
              <w:rPr>
                <w:rFonts w:ascii="Arial Narrow" w:eastAsia="Times New Roman" w:hAnsi="Arial Narrow" w:cs="Times New Roman"/>
                <w:b/>
                <w:bCs/>
                <w:color w:val="000000"/>
                <w:sz w:val="18"/>
                <w:szCs w:val="16"/>
                <w:lang w:val="fr-CA" w:eastAsia="fr-CA"/>
              </w:rPr>
              <w:t>Trésorerie active</w:t>
            </w:r>
          </w:p>
        </w:tc>
        <w:tc>
          <w:tcPr>
            <w:tcW w:w="1843" w:type="dxa"/>
            <w:tcBorders>
              <w:left w:val="single" w:sz="4" w:space="0" w:color="auto"/>
              <w:right w:val="single" w:sz="4" w:space="0" w:color="auto"/>
            </w:tcBorders>
            <w:noWrap/>
            <w:hideMark/>
          </w:tcPr>
          <w:p w14:paraId="6AACFED8" w14:textId="77777777" w:rsidR="0014786C" w:rsidRPr="00586449" w:rsidRDefault="0014786C" w:rsidP="00A51E1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18"/>
                <w:szCs w:val="16"/>
                <w:lang w:val="fr-CA" w:eastAsia="fr-CA"/>
              </w:rPr>
            </w:pPr>
            <w:r w:rsidRPr="00586449">
              <w:rPr>
                <w:rFonts w:ascii="Arial Narrow" w:eastAsia="Times New Roman" w:hAnsi="Arial Narrow" w:cs="Times New Roman"/>
                <w:b/>
                <w:bCs/>
                <w:color w:val="000000"/>
                <w:sz w:val="18"/>
                <w:szCs w:val="16"/>
                <w:lang w:val="fr-CA" w:eastAsia="fr-CA"/>
              </w:rPr>
              <w:t>1 078 976 102</w:t>
            </w:r>
          </w:p>
        </w:tc>
        <w:tc>
          <w:tcPr>
            <w:tcW w:w="1701" w:type="dxa"/>
            <w:tcBorders>
              <w:left w:val="single" w:sz="4" w:space="0" w:color="auto"/>
              <w:right w:val="single" w:sz="4" w:space="0" w:color="auto"/>
            </w:tcBorders>
            <w:noWrap/>
            <w:hideMark/>
          </w:tcPr>
          <w:p w14:paraId="09B99550" w14:textId="77777777" w:rsidR="0014786C" w:rsidRPr="00586449" w:rsidRDefault="0014786C" w:rsidP="00A51E1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117 280</w:t>
            </w:r>
          </w:p>
        </w:tc>
      </w:tr>
      <w:tr w:rsidR="0014786C" w:rsidRPr="00586449" w14:paraId="522F044A" w14:textId="77777777" w:rsidTr="00A51E1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noWrap/>
            <w:hideMark/>
          </w:tcPr>
          <w:p w14:paraId="711B0855" w14:textId="77777777" w:rsidR="0014786C" w:rsidRPr="00586449" w:rsidRDefault="0014786C" w:rsidP="00A51E14">
            <w:pPr>
              <w:jc w:val="left"/>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Caisses</w:t>
            </w:r>
          </w:p>
        </w:tc>
        <w:tc>
          <w:tcPr>
            <w:tcW w:w="1843" w:type="dxa"/>
            <w:tcBorders>
              <w:left w:val="single" w:sz="4" w:space="0" w:color="auto"/>
              <w:right w:val="single" w:sz="4" w:space="0" w:color="auto"/>
            </w:tcBorders>
            <w:noWrap/>
            <w:hideMark/>
          </w:tcPr>
          <w:p w14:paraId="351B9965" w14:textId="77777777" w:rsidR="0014786C" w:rsidRPr="00586449" w:rsidRDefault="0014786C" w:rsidP="00A51E1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141 952 900</w:t>
            </w:r>
          </w:p>
        </w:tc>
        <w:tc>
          <w:tcPr>
            <w:tcW w:w="1701" w:type="dxa"/>
            <w:tcBorders>
              <w:left w:val="single" w:sz="4" w:space="0" w:color="auto"/>
              <w:right w:val="single" w:sz="4" w:space="0" w:color="auto"/>
            </w:tcBorders>
            <w:noWrap/>
            <w:hideMark/>
          </w:tcPr>
          <w:p w14:paraId="7ED87C8C" w14:textId="77777777" w:rsidR="0014786C" w:rsidRPr="00586449" w:rsidRDefault="0014786C" w:rsidP="00A51E1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15 430</w:t>
            </w:r>
          </w:p>
        </w:tc>
      </w:tr>
      <w:tr w:rsidR="0014786C" w:rsidRPr="00586449" w14:paraId="1FEFC242" w14:textId="77777777" w:rsidTr="00A51E14">
        <w:trPr>
          <w:trHeight w:val="375"/>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noWrap/>
            <w:hideMark/>
          </w:tcPr>
          <w:p w14:paraId="70C4676B" w14:textId="77777777" w:rsidR="0014786C" w:rsidRPr="00586449" w:rsidRDefault="0014786C" w:rsidP="00A51E14">
            <w:pPr>
              <w:jc w:val="left"/>
              <w:rPr>
                <w:rFonts w:ascii="Arial Narrow" w:eastAsia="Times New Roman" w:hAnsi="Arial Narrow" w:cs="Times New Roman"/>
                <w:b/>
                <w:bCs/>
                <w:color w:val="000000"/>
                <w:sz w:val="18"/>
                <w:szCs w:val="16"/>
                <w:lang w:val="fr-CA" w:eastAsia="fr-CA"/>
              </w:rPr>
            </w:pPr>
            <w:r w:rsidRPr="00586449">
              <w:rPr>
                <w:rFonts w:ascii="Arial Narrow" w:eastAsia="Times New Roman" w:hAnsi="Arial Narrow" w:cs="Times New Roman"/>
                <w:b/>
                <w:bCs/>
                <w:color w:val="000000"/>
                <w:sz w:val="18"/>
                <w:szCs w:val="16"/>
                <w:lang w:val="fr-CA" w:eastAsia="fr-CA"/>
              </w:rPr>
              <w:t>TOTAL GENERAL PASSIF</w:t>
            </w:r>
          </w:p>
        </w:tc>
        <w:tc>
          <w:tcPr>
            <w:tcW w:w="1843" w:type="dxa"/>
            <w:tcBorders>
              <w:left w:val="single" w:sz="4" w:space="0" w:color="auto"/>
              <w:right w:val="single" w:sz="4" w:space="0" w:color="auto"/>
            </w:tcBorders>
            <w:noWrap/>
            <w:hideMark/>
          </w:tcPr>
          <w:p w14:paraId="39C05A39" w14:textId="77777777" w:rsidR="0014786C" w:rsidRPr="00586449" w:rsidRDefault="0014786C" w:rsidP="00A51E1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18"/>
                <w:szCs w:val="16"/>
                <w:lang w:val="fr-CA" w:eastAsia="fr-CA"/>
              </w:rPr>
            </w:pPr>
            <w:r w:rsidRPr="00586449">
              <w:rPr>
                <w:rFonts w:ascii="Arial Narrow" w:eastAsia="Times New Roman" w:hAnsi="Arial Narrow" w:cs="Times New Roman"/>
                <w:b/>
                <w:bCs/>
                <w:color w:val="000000"/>
                <w:sz w:val="18"/>
                <w:szCs w:val="16"/>
                <w:lang w:val="fr-CA" w:eastAsia="fr-CA"/>
              </w:rPr>
              <w:t>2 137 868 046</w:t>
            </w:r>
          </w:p>
        </w:tc>
        <w:tc>
          <w:tcPr>
            <w:tcW w:w="1701" w:type="dxa"/>
            <w:tcBorders>
              <w:left w:val="single" w:sz="4" w:space="0" w:color="auto"/>
              <w:right w:val="single" w:sz="4" w:space="0" w:color="auto"/>
            </w:tcBorders>
            <w:noWrap/>
            <w:hideMark/>
          </w:tcPr>
          <w:p w14:paraId="23521B58" w14:textId="77777777" w:rsidR="0014786C" w:rsidRPr="00586449" w:rsidRDefault="0014786C" w:rsidP="00A51E1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232 377</w:t>
            </w:r>
          </w:p>
        </w:tc>
      </w:tr>
      <w:tr w:rsidR="0014786C" w:rsidRPr="00586449" w14:paraId="51A25EA0" w14:textId="77777777" w:rsidTr="00A51E1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noWrap/>
            <w:hideMark/>
          </w:tcPr>
          <w:p w14:paraId="4BFC15CC" w14:textId="77777777" w:rsidR="0014786C" w:rsidRPr="00586449" w:rsidRDefault="0014786C" w:rsidP="00A51E14">
            <w:pPr>
              <w:jc w:val="left"/>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Reports à nouveau créditeurs</w:t>
            </w:r>
          </w:p>
        </w:tc>
        <w:tc>
          <w:tcPr>
            <w:tcW w:w="1843" w:type="dxa"/>
            <w:tcBorders>
              <w:left w:val="single" w:sz="4" w:space="0" w:color="auto"/>
              <w:right w:val="single" w:sz="4" w:space="0" w:color="auto"/>
            </w:tcBorders>
            <w:noWrap/>
            <w:hideMark/>
          </w:tcPr>
          <w:p w14:paraId="20DD1950" w14:textId="77777777" w:rsidR="0014786C" w:rsidRPr="00586449" w:rsidRDefault="0014786C" w:rsidP="00A51E1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400 275 571</w:t>
            </w:r>
          </w:p>
        </w:tc>
        <w:tc>
          <w:tcPr>
            <w:tcW w:w="1701" w:type="dxa"/>
            <w:tcBorders>
              <w:left w:val="single" w:sz="4" w:space="0" w:color="auto"/>
              <w:right w:val="single" w:sz="4" w:space="0" w:color="auto"/>
            </w:tcBorders>
            <w:noWrap/>
            <w:hideMark/>
          </w:tcPr>
          <w:p w14:paraId="5D20E29C" w14:textId="77777777" w:rsidR="0014786C" w:rsidRPr="00586449" w:rsidRDefault="0014786C" w:rsidP="00A51E1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43 508</w:t>
            </w:r>
          </w:p>
        </w:tc>
      </w:tr>
      <w:tr w:rsidR="0014786C" w:rsidRPr="00586449" w14:paraId="2E8D9576" w14:textId="77777777" w:rsidTr="00A51E14">
        <w:trPr>
          <w:trHeight w:val="375"/>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noWrap/>
            <w:hideMark/>
          </w:tcPr>
          <w:p w14:paraId="5D1505CD" w14:textId="77777777" w:rsidR="0014786C" w:rsidRPr="00586449" w:rsidRDefault="0014786C" w:rsidP="00A51E14">
            <w:pPr>
              <w:jc w:val="left"/>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Résultat d'exploitation</w:t>
            </w:r>
          </w:p>
        </w:tc>
        <w:tc>
          <w:tcPr>
            <w:tcW w:w="1843" w:type="dxa"/>
            <w:tcBorders>
              <w:left w:val="single" w:sz="4" w:space="0" w:color="auto"/>
              <w:right w:val="single" w:sz="4" w:space="0" w:color="auto"/>
            </w:tcBorders>
            <w:noWrap/>
            <w:hideMark/>
          </w:tcPr>
          <w:p w14:paraId="0A8C75F9" w14:textId="77777777" w:rsidR="0014786C" w:rsidRPr="00586449" w:rsidRDefault="0014786C" w:rsidP="00A51E1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835 503 732</w:t>
            </w:r>
          </w:p>
        </w:tc>
        <w:tc>
          <w:tcPr>
            <w:tcW w:w="1701" w:type="dxa"/>
            <w:tcBorders>
              <w:left w:val="single" w:sz="4" w:space="0" w:color="auto"/>
              <w:right w:val="single" w:sz="4" w:space="0" w:color="auto"/>
            </w:tcBorders>
            <w:noWrap/>
            <w:hideMark/>
          </w:tcPr>
          <w:p w14:paraId="49968588" w14:textId="77777777" w:rsidR="0014786C" w:rsidRPr="00586449" w:rsidRDefault="0014786C" w:rsidP="00A51E1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90 816</w:t>
            </w:r>
          </w:p>
        </w:tc>
      </w:tr>
      <w:tr w:rsidR="0014786C" w:rsidRPr="00586449" w14:paraId="53F8A184" w14:textId="77777777" w:rsidTr="00A51E1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noWrap/>
            <w:hideMark/>
          </w:tcPr>
          <w:p w14:paraId="08ABAEA8" w14:textId="77777777" w:rsidR="0014786C" w:rsidRPr="00586449" w:rsidRDefault="0014786C" w:rsidP="00A51E14">
            <w:pPr>
              <w:jc w:val="left"/>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Emprunts aux Fondateurs</w:t>
            </w:r>
          </w:p>
        </w:tc>
        <w:tc>
          <w:tcPr>
            <w:tcW w:w="1843" w:type="dxa"/>
            <w:tcBorders>
              <w:left w:val="single" w:sz="4" w:space="0" w:color="auto"/>
              <w:right w:val="single" w:sz="4" w:space="0" w:color="auto"/>
            </w:tcBorders>
            <w:noWrap/>
            <w:hideMark/>
          </w:tcPr>
          <w:p w14:paraId="3D580DE4" w14:textId="77777777" w:rsidR="0014786C" w:rsidRPr="00586449" w:rsidRDefault="0014786C" w:rsidP="00A51E1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142 313 300</w:t>
            </w:r>
          </w:p>
        </w:tc>
        <w:tc>
          <w:tcPr>
            <w:tcW w:w="1701" w:type="dxa"/>
            <w:tcBorders>
              <w:left w:val="single" w:sz="4" w:space="0" w:color="auto"/>
              <w:right w:val="single" w:sz="4" w:space="0" w:color="auto"/>
            </w:tcBorders>
            <w:noWrap/>
            <w:hideMark/>
          </w:tcPr>
          <w:p w14:paraId="7619B9C5" w14:textId="77777777" w:rsidR="0014786C" w:rsidRPr="00586449" w:rsidRDefault="0014786C" w:rsidP="00A51E1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15 469</w:t>
            </w:r>
          </w:p>
        </w:tc>
      </w:tr>
      <w:tr w:rsidR="0014786C" w:rsidRPr="00586449" w14:paraId="418729A9" w14:textId="77777777" w:rsidTr="00A51E14">
        <w:trPr>
          <w:trHeight w:val="375"/>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noWrap/>
            <w:hideMark/>
          </w:tcPr>
          <w:p w14:paraId="045934FA" w14:textId="77777777" w:rsidR="0014786C" w:rsidRPr="00586449" w:rsidRDefault="0014786C" w:rsidP="00A51E14">
            <w:pPr>
              <w:jc w:val="left"/>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Dettes Fournisseurs</w:t>
            </w:r>
          </w:p>
        </w:tc>
        <w:tc>
          <w:tcPr>
            <w:tcW w:w="1843" w:type="dxa"/>
            <w:tcBorders>
              <w:left w:val="single" w:sz="4" w:space="0" w:color="auto"/>
              <w:right w:val="single" w:sz="4" w:space="0" w:color="auto"/>
            </w:tcBorders>
            <w:noWrap/>
            <w:hideMark/>
          </w:tcPr>
          <w:p w14:paraId="6D51FD23" w14:textId="77777777" w:rsidR="0014786C" w:rsidRPr="00586449" w:rsidRDefault="0014786C" w:rsidP="00A51E1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28 550 000</w:t>
            </w:r>
          </w:p>
        </w:tc>
        <w:tc>
          <w:tcPr>
            <w:tcW w:w="1701" w:type="dxa"/>
            <w:tcBorders>
              <w:left w:val="single" w:sz="4" w:space="0" w:color="auto"/>
              <w:right w:val="single" w:sz="4" w:space="0" w:color="auto"/>
            </w:tcBorders>
            <w:noWrap/>
            <w:hideMark/>
          </w:tcPr>
          <w:p w14:paraId="7D6908E5" w14:textId="77777777" w:rsidR="0014786C" w:rsidRPr="00586449" w:rsidRDefault="0014786C" w:rsidP="00A51E1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3 103</w:t>
            </w:r>
          </w:p>
        </w:tc>
      </w:tr>
      <w:tr w:rsidR="0014786C" w:rsidRPr="00586449" w14:paraId="724D71F1" w14:textId="77777777" w:rsidTr="00A51E1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noWrap/>
            <w:hideMark/>
          </w:tcPr>
          <w:p w14:paraId="79560498" w14:textId="77777777" w:rsidR="0014786C" w:rsidRPr="00586449" w:rsidRDefault="0014786C" w:rsidP="00A51E14">
            <w:pPr>
              <w:jc w:val="left"/>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lastRenderedPageBreak/>
              <w:t>Apport en nature</w:t>
            </w:r>
          </w:p>
        </w:tc>
        <w:tc>
          <w:tcPr>
            <w:tcW w:w="1843" w:type="dxa"/>
            <w:tcBorders>
              <w:left w:val="single" w:sz="4" w:space="0" w:color="auto"/>
              <w:right w:val="single" w:sz="4" w:space="0" w:color="auto"/>
            </w:tcBorders>
            <w:noWrap/>
            <w:hideMark/>
          </w:tcPr>
          <w:p w14:paraId="73FB3101" w14:textId="77777777" w:rsidR="0014786C" w:rsidRPr="00586449" w:rsidRDefault="0014786C" w:rsidP="00A51E1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731 031 340</w:t>
            </w:r>
          </w:p>
        </w:tc>
        <w:tc>
          <w:tcPr>
            <w:tcW w:w="1701" w:type="dxa"/>
            <w:tcBorders>
              <w:left w:val="single" w:sz="4" w:space="0" w:color="auto"/>
              <w:right w:val="single" w:sz="4" w:space="0" w:color="auto"/>
            </w:tcBorders>
            <w:noWrap/>
            <w:hideMark/>
          </w:tcPr>
          <w:p w14:paraId="0693E1E3" w14:textId="77777777" w:rsidR="0014786C" w:rsidRPr="00586449" w:rsidRDefault="0014786C" w:rsidP="00A51E1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79 460</w:t>
            </w:r>
          </w:p>
        </w:tc>
      </w:tr>
      <w:tr w:rsidR="0014786C" w:rsidRPr="00586449" w14:paraId="1DA8EBA0" w14:textId="77777777" w:rsidTr="00A51E14">
        <w:trPr>
          <w:trHeight w:val="375"/>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noWrap/>
            <w:hideMark/>
          </w:tcPr>
          <w:p w14:paraId="20191866" w14:textId="77777777" w:rsidR="0014786C" w:rsidRPr="00586449" w:rsidRDefault="0014786C" w:rsidP="00A51E14">
            <w:pPr>
              <w:jc w:val="left"/>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Trésorerie passive</w:t>
            </w:r>
          </w:p>
        </w:tc>
        <w:tc>
          <w:tcPr>
            <w:tcW w:w="1843" w:type="dxa"/>
            <w:tcBorders>
              <w:left w:val="single" w:sz="4" w:space="0" w:color="auto"/>
              <w:right w:val="single" w:sz="4" w:space="0" w:color="auto"/>
            </w:tcBorders>
            <w:noWrap/>
            <w:hideMark/>
          </w:tcPr>
          <w:p w14:paraId="7DC9BF9E" w14:textId="77777777" w:rsidR="0014786C" w:rsidRPr="00586449" w:rsidRDefault="0014786C" w:rsidP="00A51E1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194 103</w:t>
            </w:r>
          </w:p>
        </w:tc>
        <w:tc>
          <w:tcPr>
            <w:tcW w:w="1701" w:type="dxa"/>
            <w:tcBorders>
              <w:left w:val="single" w:sz="4" w:space="0" w:color="auto"/>
              <w:right w:val="single" w:sz="4" w:space="0" w:color="auto"/>
            </w:tcBorders>
            <w:noWrap/>
            <w:hideMark/>
          </w:tcPr>
          <w:p w14:paraId="3FC903F0" w14:textId="77777777" w:rsidR="0014786C" w:rsidRPr="00586449" w:rsidRDefault="0014786C" w:rsidP="00A51E1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21</w:t>
            </w:r>
          </w:p>
        </w:tc>
      </w:tr>
      <w:tr w:rsidR="0014786C" w:rsidRPr="00586449" w14:paraId="402CC01F" w14:textId="77777777" w:rsidTr="00A51E1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083" w:type="dxa"/>
            <w:gridSpan w:val="3"/>
            <w:tcBorders>
              <w:left w:val="single" w:sz="4" w:space="0" w:color="auto"/>
              <w:right w:val="single" w:sz="4" w:space="0" w:color="auto"/>
            </w:tcBorders>
            <w:noWrap/>
            <w:hideMark/>
          </w:tcPr>
          <w:p w14:paraId="74642001" w14:textId="77777777" w:rsidR="0014786C" w:rsidRPr="00586449" w:rsidRDefault="0014786C" w:rsidP="00A51E14">
            <w:pPr>
              <w:jc w:val="left"/>
              <w:rPr>
                <w:rFonts w:ascii="Arial Narrow" w:eastAsia="Times New Roman" w:hAnsi="Arial Narrow" w:cs="Times New Roman"/>
                <w:b/>
                <w:bCs/>
                <w:color w:val="000000"/>
                <w:sz w:val="18"/>
                <w:szCs w:val="16"/>
                <w:lang w:val="fr-CA" w:eastAsia="fr-CA"/>
              </w:rPr>
            </w:pPr>
            <w:r w:rsidRPr="00586449">
              <w:rPr>
                <w:rFonts w:ascii="Arial Narrow" w:eastAsia="Times New Roman" w:hAnsi="Arial Narrow" w:cs="Times New Roman"/>
                <w:b/>
                <w:bCs/>
                <w:color w:val="000000"/>
                <w:sz w:val="18"/>
                <w:szCs w:val="16"/>
                <w:lang w:val="fr-CA" w:eastAsia="fr-CA"/>
              </w:rPr>
              <w:t>COMPTE DE RESULTAT</w:t>
            </w:r>
          </w:p>
        </w:tc>
      </w:tr>
      <w:tr w:rsidR="0014786C" w:rsidRPr="00586449" w14:paraId="04AAB88D" w14:textId="77777777" w:rsidTr="00A51E14">
        <w:trPr>
          <w:trHeight w:val="375"/>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noWrap/>
            <w:hideMark/>
          </w:tcPr>
          <w:p w14:paraId="0FD3458C" w14:textId="77777777" w:rsidR="0014786C" w:rsidRPr="00586449" w:rsidRDefault="0014786C" w:rsidP="00A51E14">
            <w:pPr>
              <w:jc w:val="left"/>
              <w:rPr>
                <w:rFonts w:ascii="Arial Narrow" w:eastAsia="Times New Roman" w:hAnsi="Arial Narrow" w:cs="Times New Roman"/>
                <w:b/>
                <w:bCs/>
                <w:color w:val="000000"/>
                <w:sz w:val="18"/>
                <w:szCs w:val="16"/>
                <w:lang w:val="fr-CA" w:eastAsia="fr-CA"/>
              </w:rPr>
            </w:pPr>
            <w:r w:rsidRPr="00586449">
              <w:rPr>
                <w:rFonts w:ascii="Arial Narrow" w:eastAsia="Times New Roman" w:hAnsi="Arial Narrow" w:cs="Times New Roman"/>
                <w:b/>
                <w:bCs/>
                <w:color w:val="000000"/>
                <w:sz w:val="18"/>
                <w:szCs w:val="16"/>
                <w:lang w:val="fr-CA" w:eastAsia="fr-CA"/>
              </w:rPr>
              <w:t>TOTAL GENERAL CHARGE</w:t>
            </w:r>
          </w:p>
        </w:tc>
        <w:tc>
          <w:tcPr>
            <w:tcW w:w="1843" w:type="dxa"/>
            <w:tcBorders>
              <w:left w:val="single" w:sz="4" w:space="0" w:color="auto"/>
              <w:right w:val="single" w:sz="4" w:space="0" w:color="auto"/>
            </w:tcBorders>
            <w:noWrap/>
            <w:hideMark/>
          </w:tcPr>
          <w:p w14:paraId="371FCEFF" w14:textId="77777777" w:rsidR="0014786C" w:rsidRPr="00586449" w:rsidRDefault="0014786C" w:rsidP="00A51E1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18"/>
                <w:szCs w:val="16"/>
                <w:lang w:val="fr-CA" w:eastAsia="fr-CA"/>
              </w:rPr>
            </w:pPr>
            <w:r w:rsidRPr="00586449">
              <w:rPr>
                <w:rFonts w:ascii="Arial Narrow" w:eastAsia="Times New Roman" w:hAnsi="Arial Narrow" w:cs="Times New Roman"/>
                <w:b/>
                <w:bCs/>
                <w:color w:val="000000"/>
                <w:sz w:val="18"/>
                <w:szCs w:val="16"/>
                <w:lang w:val="fr-CA" w:eastAsia="fr-CA"/>
              </w:rPr>
              <w:t>2 274 379 407</w:t>
            </w:r>
          </w:p>
        </w:tc>
        <w:tc>
          <w:tcPr>
            <w:tcW w:w="1701" w:type="dxa"/>
            <w:tcBorders>
              <w:left w:val="single" w:sz="4" w:space="0" w:color="auto"/>
              <w:right w:val="single" w:sz="4" w:space="0" w:color="auto"/>
            </w:tcBorders>
            <w:noWrap/>
            <w:hideMark/>
          </w:tcPr>
          <w:p w14:paraId="5A54DCE2" w14:textId="77777777" w:rsidR="0014786C" w:rsidRPr="00586449" w:rsidRDefault="0014786C" w:rsidP="00A51E1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247 215</w:t>
            </w:r>
          </w:p>
        </w:tc>
      </w:tr>
      <w:tr w:rsidR="0014786C" w:rsidRPr="00586449" w14:paraId="45017800" w14:textId="77777777" w:rsidTr="00A51E1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noWrap/>
            <w:hideMark/>
          </w:tcPr>
          <w:p w14:paraId="2476A2A9" w14:textId="77777777" w:rsidR="0014786C" w:rsidRPr="00586449" w:rsidRDefault="0014786C" w:rsidP="00A51E14">
            <w:pPr>
              <w:jc w:val="left"/>
              <w:rPr>
                <w:rFonts w:ascii="Arial Narrow" w:eastAsia="Times New Roman" w:hAnsi="Arial Narrow" w:cs="Times New Roman"/>
                <w:b/>
                <w:bCs/>
                <w:color w:val="000000"/>
                <w:sz w:val="18"/>
                <w:szCs w:val="16"/>
                <w:lang w:val="fr-CA" w:eastAsia="fr-CA"/>
              </w:rPr>
            </w:pPr>
            <w:r w:rsidRPr="00586449">
              <w:rPr>
                <w:rFonts w:ascii="Arial Narrow" w:eastAsia="Times New Roman" w:hAnsi="Arial Narrow" w:cs="Times New Roman"/>
                <w:b/>
                <w:bCs/>
                <w:color w:val="000000"/>
                <w:sz w:val="18"/>
                <w:szCs w:val="16"/>
                <w:lang w:val="fr-CA" w:eastAsia="fr-CA"/>
              </w:rPr>
              <w:t>Charge d'exploitation</w:t>
            </w:r>
          </w:p>
        </w:tc>
        <w:tc>
          <w:tcPr>
            <w:tcW w:w="1843" w:type="dxa"/>
            <w:tcBorders>
              <w:left w:val="single" w:sz="4" w:space="0" w:color="auto"/>
              <w:right w:val="single" w:sz="4" w:space="0" w:color="auto"/>
            </w:tcBorders>
            <w:noWrap/>
            <w:hideMark/>
          </w:tcPr>
          <w:p w14:paraId="764AF207" w14:textId="77777777" w:rsidR="0014786C" w:rsidRPr="00586449" w:rsidRDefault="0014786C" w:rsidP="00A51E1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sz w:val="18"/>
                <w:szCs w:val="16"/>
                <w:lang w:val="fr-CA" w:eastAsia="fr-CA"/>
              </w:rPr>
            </w:pPr>
            <w:r w:rsidRPr="00586449">
              <w:rPr>
                <w:rFonts w:ascii="Arial Narrow" w:eastAsia="Times New Roman" w:hAnsi="Arial Narrow" w:cs="Times New Roman"/>
                <w:b/>
                <w:bCs/>
                <w:color w:val="000000"/>
                <w:sz w:val="18"/>
                <w:szCs w:val="16"/>
                <w:lang w:val="fr-CA" w:eastAsia="fr-CA"/>
              </w:rPr>
              <w:t>887 311 863</w:t>
            </w:r>
          </w:p>
        </w:tc>
        <w:tc>
          <w:tcPr>
            <w:tcW w:w="1701" w:type="dxa"/>
            <w:tcBorders>
              <w:left w:val="single" w:sz="4" w:space="0" w:color="auto"/>
              <w:right w:val="single" w:sz="4" w:space="0" w:color="auto"/>
            </w:tcBorders>
            <w:noWrap/>
            <w:hideMark/>
          </w:tcPr>
          <w:p w14:paraId="3433DF12" w14:textId="77777777" w:rsidR="0014786C" w:rsidRPr="00586449" w:rsidRDefault="0014786C" w:rsidP="00A51E1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96 447</w:t>
            </w:r>
          </w:p>
        </w:tc>
      </w:tr>
      <w:tr w:rsidR="0014786C" w:rsidRPr="00586449" w14:paraId="37E3E8C3" w14:textId="77777777" w:rsidTr="00A51E14">
        <w:trPr>
          <w:trHeight w:val="375"/>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noWrap/>
            <w:hideMark/>
          </w:tcPr>
          <w:p w14:paraId="64657642" w14:textId="77777777" w:rsidR="0014786C" w:rsidRPr="00586449" w:rsidRDefault="0014786C" w:rsidP="00A51E14">
            <w:pPr>
              <w:jc w:val="left"/>
              <w:rPr>
                <w:rFonts w:ascii="Arial Narrow" w:eastAsia="Times New Roman" w:hAnsi="Arial Narrow" w:cs="Times New Roman"/>
                <w:b/>
                <w:bCs/>
                <w:color w:val="000000"/>
                <w:sz w:val="18"/>
                <w:szCs w:val="16"/>
                <w:lang w:val="fr-CA" w:eastAsia="fr-CA"/>
              </w:rPr>
            </w:pPr>
            <w:r w:rsidRPr="00586449">
              <w:rPr>
                <w:rFonts w:ascii="Arial Narrow" w:eastAsia="Times New Roman" w:hAnsi="Arial Narrow" w:cs="Times New Roman"/>
                <w:b/>
                <w:bCs/>
                <w:color w:val="000000"/>
                <w:sz w:val="18"/>
                <w:szCs w:val="16"/>
                <w:lang w:val="fr-CA" w:eastAsia="fr-CA"/>
              </w:rPr>
              <w:t>Charge financière</w:t>
            </w:r>
          </w:p>
        </w:tc>
        <w:tc>
          <w:tcPr>
            <w:tcW w:w="1843" w:type="dxa"/>
            <w:tcBorders>
              <w:left w:val="single" w:sz="4" w:space="0" w:color="auto"/>
              <w:right w:val="single" w:sz="4" w:space="0" w:color="auto"/>
            </w:tcBorders>
            <w:noWrap/>
            <w:hideMark/>
          </w:tcPr>
          <w:p w14:paraId="2376AF26" w14:textId="77777777" w:rsidR="0014786C" w:rsidRPr="00586449" w:rsidRDefault="0014786C" w:rsidP="00A51E1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18"/>
                <w:szCs w:val="16"/>
                <w:lang w:val="fr-CA" w:eastAsia="fr-CA"/>
              </w:rPr>
            </w:pPr>
            <w:r w:rsidRPr="00586449">
              <w:rPr>
                <w:rFonts w:ascii="Arial Narrow" w:eastAsia="Times New Roman" w:hAnsi="Arial Narrow" w:cs="Times New Roman"/>
                <w:b/>
                <w:bCs/>
                <w:color w:val="000000"/>
                <w:sz w:val="18"/>
                <w:szCs w:val="16"/>
                <w:lang w:val="fr-CA" w:eastAsia="fr-CA"/>
              </w:rPr>
              <w:t>1 387 067 544</w:t>
            </w:r>
          </w:p>
        </w:tc>
        <w:tc>
          <w:tcPr>
            <w:tcW w:w="1701" w:type="dxa"/>
            <w:tcBorders>
              <w:left w:val="single" w:sz="4" w:space="0" w:color="auto"/>
              <w:right w:val="single" w:sz="4" w:space="0" w:color="auto"/>
            </w:tcBorders>
            <w:noWrap/>
            <w:hideMark/>
          </w:tcPr>
          <w:p w14:paraId="1B2A113C" w14:textId="77777777" w:rsidR="0014786C" w:rsidRPr="00586449" w:rsidRDefault="0014786C" w:rsidP="00A51E1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150 768</w:t>
            </w:r>
          </w:p>
        </w:tc>
      </w:tr>
      <w:tr w:rsidR="0014786C" w:rsidRPr="00586449" w14:paraId="0B80B782" w14:textId="77777777" w:rsidTr="00A51E1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noWrap/>
            <w:hideMark/>
          </w:tcPr>
          <w:p w14:paraId="3D6562FF" w14:textId="77777777" w:rsidR="0014786C" w:rsidRPr="00586449" w:rsidRDefault="0014786C" w:rsidP="00A51E14">
            <w:pPr>
              <w:jc w:val="left"/>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Charges du personnel</w:t>
            </w:r>
          </w:p>
        </w:tc>
        <w:tc>
          <w:tcPr>
            <w:tcW w:w="1843" w:type="dxa"/>
            <w:tcBorders>
              <w:left w:val="single" w:sz="4" w:space="0" w:color="auto"/>
              <w:right w:val="single" w:sz="4" w:space="0" w:color="auto"/>
            </w:tcBorders>
            <w:noWrap/>
            <w:hideMark/>
          </w:tcPr>
          <w:p w14:paraId="7593A886" w14:textId="77777777" w:rsidR="0014786C" w:rsidRPr="00586449" w:rsidRDefault="0014786C" w:rsidP="00A51E1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405 187 533</w:t>
            </w:r>
          </w:p>
        </w:tc>
        <w:tc>
          <w:tcPr>
            <w:tcW w:w="1701" w:type="dxa"/>
            <w:tcBorders>
              <w:left w:val="single" w:sz="4" w:space="0" w:color="auto"/>
              <w:right w:val="single" w:sz="4" w:space="0" w:color="auto"/>
            </w:tcBorders>
            <w:noWrap/>
            <w:hideMark/>
          </w:tcPr>
          <w:p w14:paraId="3CB51F5B" w14:textId="77777777" w:rsidR="0014786C" w:rsidRPr="00586449" w:rsidRDefault="0014786C" w:rsidP="00A51E1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44 042</w:t>
            </w:r>
          </w:p>
        </w:tc>
      </w:tr>
      <w:tr w:rsidR="0014786C" w:rsidRPr="00586449" w14:paraId="6B084A24" w14:textId="77777777" w:rsidTr="00A51E14">
        <w:trPr>
          <w:trHeight w:val="375"/>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noWrap/>
            <w:hideMark/>
          </w:tcPr>
          <w:p w14:paraId="640CBAB6" w14:textId="77777777" w:rsidR="0014786C" w:rsidRPr="00586449" w:rsidRDefault="0014786C" w:rsidP="00A51E14">
            <w:pPr>
              <w:jc w:val="left"/>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Dotation aux provisions</w:t>
            </w:r>
          </w:p>
        </w:tc>
        <w:tc>
          <w:tcPr>
            <w:tcW w:w="1843" w:type="dxa"/>
            <w:tcBorders>
              <w:left w:val="single" w:sz="4" w:space="0" w:color="auto"/>
              <w:right w:val="single" w:sz="4" w:space="0" w:color="auto"/>
            </w:tcBorders>
            <w:noWrap/>
            <w:hideMark/>
          </w:tcPr>
          <w:p w14:paraId="5763B2B4" w14:textId="77777777" w:rsidR="0014786C" w:rsidRPr="00586449" w:rsidRDefault="0014786C" w:rsidP="00A51E1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870 467 178</w:t>
            </w:r>
          </w:p>
        </w:tc>
        <w:tc>
          <w:tcPr>
            <w:tcW w:w="1701" w:type="dxa"/>
            <w:tcBorders>
              <w:left w:val="single" w:sz="4" w:space="0" w:color="auto"/>
              <w:right w:val="single" w:sz="4" w:space="0" w:color="auto"/>
            </w:tcBorders>
            <w:noWrap/>
            <w:hideMark/>
          </w:tcPr>
          <w:p w14:paraId="26CB9462" w14:textId="77777777" w:rsidR="0014786C" w:rsidRPr="00586449" w:rsidRDefault="0014786C" w:rsidP="00A51E1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94 616</w:t>
            </w:r>
          </w:p>
        </w:tc>
      </w:tr>
      <w:tr w:rsidR="0014786C" w:rsidRPr="00586449" w14:paraId="10CBCE80" w14:textId="77777777" w:rsidTr="00A51E14">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hideMark/>
          </w:tcPr>
          <w:p w14:paraId="38113F6A" w14:textId="77777777" w:rsidR="0014786C" w:rsidRPr="00586449" w:rsidRDefault="0014786C" w:rsidP="00A51E14">
            <w:pPr>
              <w:jc w:val="left"/>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Reversement sur Subvention de projet UNFPA</w:t>
            </w:r>
          </w:p>
        </w:tc>
        <w:tc>
          <w:tcPr>
            <w:tcW w:w="1843" w:type="dxa"/>
            <w:tcBorders>
              <w:left w:val="single" w:sz="4" w:space="0" w:color="auto"/>
              <w:right w:val="single" w:sz="4" w:space="0" w:color="auto"/>
            </w:tcBorders>
            <w:noWrap/>
            <w:hideMark/>
          </w:tcPr>
          <w:p w14:paraId="08BA9490" w14:textId="77777777" w:rsidR="0014786C" w:rsidRPr="00586449" w:rsidRDefault="0014786C" w:rsidP="00A51E1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111 412 833</w:t>
            </w:r>
          </w:p>
        </w:tc>
        <w:tc>
          <w:tcPr>
            <w:tcW w:w="1701" w:type="dxa"/>
            <w:tcBorders>
              <w:left w:val="single" w:sz="4" w:space="0" w:color="auto"/>
              <w:right w:val="single" w:sz="4" w:space="0" w:color="auto"/>
            </w:tcBorders>
            <w:noWrap/>
            <w:hideMark/>
          </w:tcPr>
          <w:p w14:paraId="78E1FDA0" w14:textId="77777777" w:rsidR="0014786C" w:rsidRPr="00586449" w:rsidRDefault="0014786C" w:rsidP="00A51E1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12 110</w:t>
            </w:r>
          </w:p>
        </w:tc>
      </w:tr>
      <w:tr w:rsidR="0014786C" w:rsidRPr="00586449" w14:paraId="246221E6" w14:textId="77777777" w:rsidTr="00A51E14">
        <w:trPr>
          <w:trHeight w:val="375"/>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noWrap/>
            <w:hideMark/>
          </w:tcPr>
          <w:p w14:paraId="75BDC336" w14:textId="77777777" w:rsidR="0014786C" w:rsidRPr="00586449" w:rsidRDefault="0014786C" w:rsidP="00A51E14">
            <w:pPr>
              <w:jc w:val="left"/>
              <w:rPr>
                <w:rFonts w:ascii="Arial Narrow" w:eastAsia="Times New Roman" w:hAnsi="Arial Narrow" w:cs="Times New Roman"/>
                <w:b/>
                <w:bCs/>
                <w:color w:val="000000"/>
                <w:sz w:val="18"/>
                <w:szCs w:val="16"/>
                <w:lang w:val="fr-CA" w:eastAsia="fr-CA"/>
              </w:rPr>
            </w:pPr>
            <w:r w:rsidRPr="00586449">
              <w:rPr>
                <w:rFonts w:ascii="Arial Narrow" w:eastAsia="Times New Roman" w:hAnsi="Arial Narrow" w:cs="Times New Roman"/>
                <w:b/>
                <w:bCs/>
                <w:color w:val="000000"/>
                <w:sz w:val="18"/>
                <w:szCs w:val="16"/>
                <w:lang w:val="fr-CA" w:eastAsia="fr-CA"/>
              </w:rPr>
              <w:t>TOTAL GENERAL PRODUIT</w:t>
            </w:r>
          </w:p>
        </w:tc>
        <w:tc>
          <w:tcPr>
            <w:tcW w:w="1843" w:type="dxa"/>
            <w:tcBorders>
              <w:left w:val="single" w:sz="4" w:space="0" w:color="auto"/>
              <w:right w:val="single" w:sz="4" w:space="0" w:color="auto"/>
            </w:tcBorders>
            <w:noWrap/>
            <w:hideMark/>
          </w:tcPr>
          <w:p w14:paraId="0BF6F019" w14:textId="77777777" w:rsidR="0014786C" w:rsidRPr="00586449" w:rsidRDefault="0014786C" w:rsidP="00A51E1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18"/>
                <w:szCs w:val="16"/>
                <w:lang w:val="fr-CA" w:eastAsia="fr-CA"/>
              </w:rPr>
            </w:pPr>
            <w:r w:rsidRPr="00586449">
              <w:rPr>
                <w:rFonts w:ascii="Arial Narrow" w:eastAsia="Times New Roman" w:hAnsi="Arial Narrow" w:cs="Times New Roman"/>
                <w:b/>
                <w:bCs/>
                <w:color w:val="000000"/>
                <w:sz w:val="18"/>
                <w:szCs w:val="16"/>
                <w:lang w:val="fr-CA" w:eastAsia="fr-CA"/>
              </w:rPr>
              <w:t>2 274 379 407</w:t>
            </w:r>
          </w:p>
        </w:tc>
        <w:tc>
          <w:tcPr>
            <w:tcW w:w="1701" w:type="dxa"/>
            <w:tcBorders>
              <w:left w:val="single" w:sz="4" w:space="0" w:color="auto"/>
              <w:right w:val="single" w:sz="4" w:space="0" w:color="auto"/>
            </w:tcBorders>
            <w:noWrap/>
            <w:hideMark/>
          </w:tcPr>
          <w:p w14:paraId="1B659DC4" w14:textId="77777777" w:rsidR="0014786C" w:rsidRPr="00586449" w:rsidRDefault="0014786C" w:rsidP="00A51E1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247 215</w:t>
            </w:r>
          </w:p>
        </w:tc>
      </w:tr>
      <w:tr w:rsidR="0014786C" w:rsidRPr="00586449" w14:paraId="1075BD62" w14:textId="77777777" w:rsidTr="00A51E14">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noWrap/>
            <w:hideMark/>
          </w:tcPr>
          <w:p w14:paraId="63BB4926" w14:textId="77777777" w:rsidR="0014786C" w:rsidRPr="00586449" w:rsidRDefault="0014786C" w:rsidP="00A51E14">
            <w:pPr>
              <w:jc w:val="left"/>
              <w:rPr>
                <w:rFonts w:ascii="Arial Narrow" w:eastAsia="Times New Roman" w:hAnsi="Arial Narrow" w:cs="Times New Roman"/>
                <w:b/>
                <w:bCs/>
                <w:color w:val="000000"/>
                <w:sz w:val="18"/>
                <w:szCs w:val="16"/>
                <w:lang w:val="fr-CA" w:eastAsia="fr-CA"/>
              </w:rPr>
            </w:pPr>
            <w:r w:rsidRPr="00586449">
              <w:rPr>
                <w:rFonts w:ascii="Arial Narrow" w:eastAsia="Times New Roman" w:hAnsi="Arial Narrow" w:cs="Times New Roman"/>
                <w:b/>
                <w:bCs/>
                <w:color w:val="000000"/>
                <w:sz w:val="18"/>
                <w:szCs w:val="16"/>
                <w:lang w:val="fr-CA" w:eastAsia="fr-CA"/>
              </w:rPr>
              <w:t>Produit d'exploitation</w:t>
            </w:r>
          </w:p>
        </w:tc>
        <w:tc>
          <w:tcPr>
            <w:tcW w:w="1843" w:type="dxa"/>
            <w:tcBorders>
              <w:left w:val="single" w:sz="4" w:space="0" w:color="auto"/>
              <w:right w:val="single" w:sz="4" w:space="0" w:color="auto"/>
            </w:tcBorders>
            <w:noWrap/>
            <w:hideMark/>
          </w:tcPr>
          <w:p w14:paraId="22F2136B" w14:textId="77777777" w:rsidR="0014786C" w:rsidRPr="00586449" w:rsidRDefault="0014786C" w:rsidP="00A51E1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sz w:val="18"/>
                <w:szCs w:val="16"/>
                <w:lang w:val="fr-CA" w:eastAsia="fr-CA"/>
              </w:rPr>
            </w:pPr>
            <w:r w:rsidRPr="00586449">
              <w:rPr>
                <w:rFonts w:ascii="Arial Narrow" w:eastAsia="Times New Roman" w:hAnsi="Arial Narrow" w:cs="Times New Roman"/>
                <w:b/>
                <w:bCs/>
                <w:color w:val="000000"/>
                <w:sz w:val="18"/>
                <w:szCs w:val="16"/>
                <w:lang w:val="fr-CA" w:eastAsia="fr-CA"/>
              </w:rPr>
              <w:t>2 274 379 407</w:t>
            </w:r>
          </w:p>
        </w:tc>
        <w:tc>
          <w:tcPr>
            <w:tcW w:w="1701" w:type="dxa"/>
            <w:tcBorders>
              <w:left w:val="single" w:sz="4" w:space="0" w:color="auto"/>
              <w:right w:val="single" w:sz="4" w:space="0" w:color="auto"/>
            </w:tcBorders>
            <w:noWrap/>
            <w:hideMark/>
          </w:tcPr>
          <w:p w14:paraId="3BDFB6D4" w14:textId="77777777" w:rsidR="0014786C" w:rsidRPr="00586449" w:rsidRDefault="0014786C" w:rsidP="00A51E1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247 215</w:t>
            </w:r>
          </w:p>
        </w:tc>
      </w:tr>
      <w:tr w:rsidR="0014786C" w:rsidRPr="00586449" w14:paraId="2EB57E13" w14:textId="77777777" w:rsidTr="00A51E14">
        <w:trPr>
          <w:trHeight w:val="228"/>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noWrap/>
            <w:hideMark/>
          </w:tcPr>
          <w:p w14:paraId="0FEF0E54" w14:textId="77777777" w:rsidR="0014786C" w:rsidRPr="00586449" w:rsidRDefault="0014786C" w:rsidP="00A51E14">
            <w:pPr>
              <w:jc w:val="left"/>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Prestations de services</w:t>
            </w:r>
          </w:p>
        </w:tc>
        <w:tc>
          <w:tcPr>
            <w:tcW w:w="1843" w:type="dxa"/>
            <w:tcBorders>
              <w:left w:val="single" w:sz="4" w:space="0" w:color="auto"/>
              <w:right w:val="single" w:sz="4" w:space="0" w:color="auto"/>
            </w:tcBorders>
            <w:noWrap/>
            <w:hideMark/>
          </w:tcPr>
          <w:p w14:paraId="6105690E" w14:textId="77777777" w:rsidR="0014786C" w:rsidRPr="00586449" w:rsidRDefault="0014786C" w:rsidP="00A51E1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252 493 500</w:t>
            </w:r>
          </w:p>
        </w:tc>
        <w:tc>
          <w:tcPr>
            <w:tcW w:w="1701" w:type="dxa"/>
            <w:tcBorders>
              <w:left w:val="single" w:sz="4" w:space="0" w:color="auto"/>
              <w:right w:val="single" w:sz="4" w:space="0" w:color="auto"/>
            </w:tcBorders>
            <w:noWrap/>
            <w:hideMark/>
          </w:tcPr>
          <w:p w14:paraId="279C354C" w14:textId="77777777" w:rsidR="0014786C" w:rsidRPr="00586449" w:rsidRDefault="0014786C" w:rsidP="00A51E1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27 445</w:t>
            </w:r>
          </w:p>
        </w:tc>
      </w:tr>
      <w:tr w:rsidR="0014786C" w:rsidRPr="00586449" w14:paraId="771C9AD0" w14:textId="77777777" w:rsidTr="00A51E1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noWrap/>
            <w:hideMark/>
          </w:tcPr>
          <w:p w14:paraId="03B2741A" w14:textId="77777777" w:rsidR="0014786C" w:rsidRPr="00586449" w:rsidRDefault="0014786C" w:rsidP="00A51E14">
            <w:pPr>
              <w:jc w:val="left"/>
              <w:rPr>
                <w:rFonts w:ascii="Arial Narrow" w:eastAsia="Times New Roman" w:hAnsi="Arial Narrow" w:cs="Times New Roman"/>
                <w:color w:val="000000"/>
                <w:sz w:val="18"/>
                <w:szCs w:val="16"/>
                <w:lang w:val="fr-CA" w:eastAsia="fr-CA"/>
              </w:rPr>
            </w:pPr>
            <w:proofErr w:type="gramStart"/>
            <w:r w:rsidRPr="00586449">
              <w:rPr>
                <w:rFonts w:ascii="Arial Narrow" w:eastAsia="Times New Roman" w:hAnsi="Arial Narrow" w:cs="Times New Roman"/>
                <w:color w:val="000000"/>
                <w:sz w:val="18"/>
                <w:szCs w:val="16"/>
                <w:lang w:val="fr-CA" w:eastAsia="fr-CA"/>
              </w:rPr>
              <w:t>subvention</w:t>
            </w:r>
            <w:proofErr w:type="gramEnd"/>
            <w:r w:rsidRPr="00586449">
              <w:rPr>
                <w:rFonts w:ascii="Arial Narrow" w:eastAsia="Times New Roman" w:hAnsi="Arial Narrow" w:cs="Times New Roman"/>
                <w:color w:val="000000"/>
                <w:sz w:val="18"/>
                <w:szCs w:val="16"/>
                <w:lang w:val="fr-CA" w:eastAsia="fr-CA"/>
              </w:rPr>
              <w:t xml:space="preserve"> versés/l'</w:t>
            </w:r>
            <w:proofErr w:type="spellStart"/>
            <w:r w:rsidRPr="00586449">
              <w:rPr>
                <w:rFonts w:ascii="Arial Narrow" w:eastAsia="Times New Roman" w:hAnsi="Arial Narrow" w:cs="Times New Roman"/>
                <w:color w:val="000000"/>
                <w:sz w:val="18"/>
                <w:szCs w:val="16"/>
                <w:lang w:val="fr-CA" w:eastAsia="fr-CA"/>
              </w:rPr>
              <w:t>Etat</w:t>
            </w:r>
            <w:proofErr w:type="spellEnd"/>
            <w:r w:rsidRPr="00586449">
              <w:rPr>
                <w:rFonts w:ascii="Arial Narrow" w:eastAsia="Times New Roman" w:hAnsi="Arial Narrow" w:cs="Times New Roman"/>
                <w:color w:val="000000"/>
                <w:sz w:val="18"/>
                <w:szCs w:val="16"/>
                <w:lang w:val="fr-CA" w:eastAsia="fr-CA"/>
              </w:rPr>
              <w:t>-UNFPA</w:t>
            </w:r>
          </w:p>
        </w:tc>
        <w:tc>
          <w:tcPr>
            <w:tcW w:w="1843" w:type="dxa"/>
            <w:tcBorders>
              <w:left w:val="single" w:sz="4" w:space="0" w:color="auto"/>
              <w:right w:val="single" w:sz="4" w:space="0" w:color="auto"/>
            </w:tcBorders>
            <w:noWrap/>
            <w:hideMark/>
          </w:tcPr>
          <w:p w14:paraId="701CAAB6" w14:textId="77777777" w:rsidR="0014786C" w:rsidRPr="00586449" w:rsidRDefault="0014786C" w:rsidP="00A51E1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172 845 000</w:t>
            </w:r>
          </w:p>
        </w:tc>
        <w:tc>
          <w:tcPr>
            <w:tcW w:w="1701" w:type="dxa"/>
            <w:tcBorders>
              <w:left w:val="single" w:sz="4" w:space="0" w:color="auto"/>
              <w:right w:val="single" w:sz="4" w:space="0" w:color="auto"/>
            </w:tcBorders>
            <w:noWrap/>
            <w:hideMark/>
          </w:tcPr>
          <w:p w14:paraId="16CDFAD6" w14:textId="77777777" w:rsidR="0014786C" w:rsidRPr="00586449" w:rsidRDefault="0014786C" w:rsidP="00A51E1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18 788</w:t>
            </w:r>
          </w:p>
        </w:tc>
      </w:tr>
      <w:tr w:rsidR="0014786C" w:rsidRPr="00586449" w14:paraId="3D3880E9" w14:textId="77777777" w:rsidTr="00A51E14">
        <w:trPr>
          <w:trHeight w:val="310"/>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hideMark/>
          </w:tcPr>
          <w:p w14:paraId="1F6C0ACF" w14:textId="77777777" w:rsidR="0014786C" w:rsidRPr="00586449" w:rsidRDefault="0014786C" w:rsidP="00A51E14">
            <w:pPr>
              <w:jc w:val="left"/>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Subventions versés/Organismes internationaux</w:t>
            </w:r>
          </w:p>
        </w:tc>
        <w:tc>
          <w:tcPr>
            <w:tcW w:w="1843" w:type="dxa"/>
            <w:tcBorders>
              <w:left w:val="single" w:sz="4" w:space="0" w:color="auto"/>
              <w:right w:val="single" w:sz="4" w:space="0" w:color="auto"/>
            </w:tcBorders>
            <w:noWrap/>
            <w:hideMark/>
          </w:tcPr>
          <w:p w14:paraId="0EE77ABF" w14:textId="77777777" w:rsidR="0014786C" w:rsidRPr="00586449" w:rsidRDefault="0014786C" w:rsidP="00A51E1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1 751 926 207</w:t>
            </w:r>
          </w:p>
        </w:tc>
        <w:tc>
          <w:tcPr>
            <w:tcW w:w="1701" w:type="dxa"/>
            <w:tcBorders>
              <w:left w:val="single" w:sz="4" w:space="0" w:color="auto"/>
              <w:right w:val="single" w:sz="4" w:space="0" w:color="auto"/>
            </w:tcBorders>
            <w:noWrap/>
            <w:hideMark/>
          </w:tcPr>
          <w:p w14:paraId="615CB92B" w14:textId="77777777" w:rsidR="0014786C" w:rsidRPr="00586449" w:rsidRDefault="0014786C" w:rsidP="00A51E1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190 427</w:t>
            </w:r>
          </w:p>
        </w:tc>
      </w:tr>
      <w:tr w:rsidR="0014786C" w:rsidRPr="00586449" w14:paraId="58A9B53F" w14:textId="77777777" w:rsidTr="00A51E1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noWrap/>
            <w:hideMark/>
          </w:tcPr>
          <w:p w14:paraId="3BB63FC3" w14:textId="77777777" w:rsidR="0014786C" w:rsidRPr="00586449" w:rsidRDefault="0014786C" w:rsidP="00A51E14">
            <w:pPr>
              <w:jc w:val="left"/>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Autres subventions d'exploitation</w:t>
            </w:r>
          </w:p>
        </w:tc>
        <w:tc>
          <w:tcPr>
            <w:tcW w:w="1843" w:type="dxa"/>
            <w:tcBorders>
              <w:left w:val="single" w:sz="4" w:space="0" w:color="auto"/>
              <w:right w:val="single" w:sz="4" w:space="0" w:color="auto"/>
            </w:tcBorders>
            <w:noWrap/>
            <w:hideMark/>
          </w:tcPr>
          <w:p w14:paraId="59B902DD" w14:textId="77777777" w:rsidR="0014786C" w:rsidRPr="00586449" w:rsidRDefault="0014786C" w:rsidP="00A51E1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75 000 000</w:t>
            </w:r>
          </w:p>
        </w:tc>
        <w:tc>
          <w:tcPr>
            <w:tcW w:w="1701" w:type="dxa"/>
            <w:tcBorders>
              <w:left w:val="single" w:sz="4" w:space="0" w:color="auto"/>
              <w:right w:val="single" w:sz="4" w:space="0" w:color="auto"/>
            </w:tcBorders>
            <w:noWrap/>
            <w:hideMark/>
          </w:tcPr>
          <w:p w14:paraId="29AFCF20" w14:textId="77777777" w:rsidR="0014786C" w:rsidRPr="00586449" w:rsidRDefault="0014786C" w:rsidP="00A51E1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8 152</w:t>
            </w:r>
          </w:p>
        </w:tc>
      </w:tr>
      <w:tr w:rsidR="0014786C" w:rsidRPr="00586449" w14:paraId="202A8CE3" w14:textId="77777777" w:rsidTr="00A51E14">
        <w:trPr>
          <w:trHeight w:val="375"/>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noWrap/>
            <w:hideMark/>
          </w:tcPr>
          <w:p w14:paraId="019B1BB1" w14:textId="77777777" w:rsidR="0014786C" w:rsidRPr="00586449" w:rsidRDefault="0014786C" w:rsidP="00A51E14">
            <w:pPr>
              <w:jc w:val="left"/>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Autres produits d'exploitation</w:t>
            </w:r>
          </w:p>
        </w:tc>
        <w:tc>
          <w:tcPr>
            <w:tcW w:w="1843" w:type="dxa"/>
            <w:tcBorders>
              <w:left w:val="single" w:sz="4" w:space="0" w:color="auto"/>
              <w:right w:val="single" w:sz="4" w:space="0" w:color="auto"/>
            </w:tcBorders>
            <w:noWrap/>
            <w:hideMark/>
          </w:tcPr>
          <w:p w14:paraId="3681F4B2" w14:textId="77777777" w:rsidR="0014786C" w:rsidRPr="00586449" w:rsidRDefault="0014786C" w:rsidP="00A51E1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22 114 700</w:t>
            </w:r>
          </w:p>
        </w:tc>
        <w:tc>
          <w:tcPr>
            <w:tcW w:w="1701" w:type="dxa"/>
            <w:tcBorders>
              <w:left w:val="single" w:sz="4" w:space="0" w:color="auto"/>
              <w:right w:val="single" w:sz="4" w:space="0" w:color="auto"/>
            </w:tcBorders>
            <w:noWrap/>
            <w:hideMark/>
          </w:tcPr>
          <w:p w14:paraId="32952EA0" w14:textId="77777777" w:rsidR="0014786C" w:rsidRPr="00586449" w:rsidRDefault="0014786C" w:rsidP="00A51E1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586449">
              <w:rPr>
                <w:rFonts w:ascii="Arial Narrow" w:eastAsia="Times New Roman" w:hAnsi="Arial Narrow" w:cs="Times New Roman"/>
                <w:color w:val="000000"/>
                <w:sz w:val="18"/>
                <w:szCs w:val="16"/>
                <w:lang w:val="fr-CA" w:eastAsia="fr-CA"/>
              </w:rPr>
              <w:t>2 404</w:t>
            </w:r>
          </w:p>
        </w:tc>
      </w:tr>
      <w:tr w:rsidR="0014786C" w:rsidRPr="00586449" w14:paraId="657221BD" w14:textId="77777777" w:rsidTr="00A51E1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bottom w:val="single" w:sz="4" w:space="0" w:color="auto"/>
              <w:right w:val="single" w:sz="4" w:space="0" w:color="auto"/>
            </w:tcBorders>
            <w:noWrap/>
            <w:hideMark/>
          </w:tcPr>
          <w:p w14:paraId="1B6BB55C" w14:textId="77777777" w:rsidR="0014786C" w:rsidRPr="00586449" w:rsidRDefault="0014786C" w:rsidP="00A51E14">
            <w:pPr>
              <w:jc w:val="left"/>
              <w:rPr>
                <w:rFonts w:ascii="Arial Narrow" w:eastAsia="Times New Roman" w:hAnsi="Arial Narrow" w:cs="Times New Roman"/>
                <w:b/>
                <w:bCs/>
                <w:color w:val="000000"/>
                <w:sz w:val="18"/>
                <w:szCs w:val="16"/>
                <w:lang w:val="fr-CA" w:eastAsia="fr-CA"/>
              </w:rPr>
            </w:pPr>
            <w:r w:rsidRPr="00586449">
              <w:rPr>
                <w:rFonts w:ascii="Arial Narrow" w:eastAsia="Times New Roman" w:hAnsi="Arial Narrow" w:cs="Times New Roman"/>
                <w:b/>
                <w:bCs/>
                <w:color w:val="000000"/>
                <w:sz w:val="18"/>
                <w:szCs w:val="16"/>
                <w:lang w:val="fr-CA" w:eastAsia="fr-CA"/>
              </w:rPr>
              <w:t>Résultat Net (TC-TP)</w:t>
            </w:r>
          </w:p>
        </w:tc>
        <w:tc>
          <w:tcPr>
            <w:tcW w:w="1843" w:type="dxa"/>
            <w:tcBorders>
              <w:left w:val="single" w:sz="4" w:space="0" w:color="auto"/>
              <w:bottom w:val="single" w:sz="4" w:space="0" w:color="auto"/>
              <w:right w:val="single" w:sz="4" w:space="0" w:color="auto"/>
            </w:tcBorders>
            <w:noWrap/>
            <w:hideMark/>
          </w:tcPr>
          <w:p w14:paraId="0E195C8C" w14:textId="77777777" w:rsidR="0014786C" w:rsidRPr="00586449" w:rsidRDefault="0014786C" w:rsidP="00A51E1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sz w:val="18"/>
                <w:szCs w:val="16"/>
                <w:lang w:val="fr-CA" w:eastAsia="fr-CA"/>
              </w:rPr>
            </w:pPr>
            <w:r w:rsidRPr="00586449">
              <w:rPr>
                <w:rFonts w:ascii="Arial Narrow" w:eastAsia="Times New Roman" w:hAnsi="Arial Narrow" w:cs="Times New Roman"/>
                <w:b/>
                <w:bCs/>
                <w:color w:val="000000"/>
                <w:sz w:val="18"/>
                <w:szCs w:val="16"/>
                <w:lang w:val="fr-CA" w:eastAsia="fr-CA"/>
              </w:rPr>
              <w:t>0</w:t>
            </w:r>
          </w:p>
        </w:tc>
        <w:tc>
          <w:tcPr>
            <w:tcW w:w="1701" w:type="dxa"/>
            <w:tcBorders>
              <w:left w:val="single" w:sz="4" w:space="0" w:color="auto"/>
              <w:bottom w:val="single" w:sz="4" w:space="0" w:color="auto"/>
              <w:right w:val="single" w:sz="4" w:space="0" w:color="auto"/>
            </w:tcBorders>
            <w:noWrap/>
            <w:hideMark/>
          </w:tcPr>
          <w:p w14:paraId="7E001D54" w14:textId="77777777" w:rsidR="0014786C" w:rsidRPr="00586449" w:rsidRDefault="0014786C" w:rsidP="00A51E1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sz w:val="18"/>
                <w:szCs w:val="16"/>
                <w:lang w:val="fr-CA" w:eastAsia="fr-CA"/>
              </w:rPr>
            </w:pPr>
            <w:r w:rsidRPr="00586449">
              <w:rPr>
                <w:rFonts w:ascii="Arial Narrow" w:eastAsia="Times New Roman" w:hAnsi="Arial Narrow" w:cs="Times New Roman"/>
                <w:b/>
                <w:bCs/>
                <w:color w:val="000000"/>
                <w:sz w:val="18"/>
                <w:szCs w:val="16"/>
                <w:lang w:val="fr-CA" w:eastAsia="fr-CA"/>
              </w:rPr>
              <w:t>0</w:t>
            </w:r>
          </w:p>
        </w:tc>
      </w:tr>
      <w:tr w:rsidR="0014786C" w:rsidRPr="00A4777F" w14:paraId="29D29349" w14:textId="77777777" w:rsidTr="00A51E14">
        <w:trPr>
          <w:trHeight w:val="375"/>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tcBorders>
            <w:noWrap/>
            <w:hideMark/>
          </w:tcPr>
          <w:p w14:paraId="6685442C" w14:textId="77777777" w:rsidR="0014786C" w:rsidRPr="00A4777F" w:rsidRDefault="0014786C" w:rsidP="00A51E14">
            <w:pPr>
              <w:jc w:val="left"/>
              <w:rPr>
                <w:rFonts w:ascii="Arial Narrow" w:eastAsia="Times New Roman" w:hAnsi="Arial Narrow" w:cs="Times New Roman"/>
                <w:color w:val="000000"/>
                <w:sz w:val="18"/>
                <w:szCs w:val="16"/>
                <w:lang w:val="fr-CA" w:eastAsia="fr-CA"/>
              </w:rPr>
            </w:pPr>
            <w:r w:rsidRPr="00A4777F">
              <w:rPr>
                <w:rFonts w:ascii="Arial Narrow" w:eastAsia="Times New Roman" w:hAnsi="Arial Narrow" w:cs="Times New Roman"/>
                <w:color w:val="000000"/>
                <w:sz w:val="18"/>
                <w:szCs w:val="16"/>
                <w:lang w:val="fr-CA" w:eastAsia="fr-CA"/>
              </w:rPr>
              <w:t xml:space="preserve">Taux de </w:t>
            </w:r>
            <w:r>
              <w:rPr>
                <w:rFonts w:ascii="Arial Narrow" w:eastAsia="Times New Roman" w:hAnsi="Arial Narrow" w:cs="Times New Roman"/>
                <w:color w:val="000000"/>
                <w:sz w:val="18"/>
                <w:szCs w:val="16"/>
                <w:lang w:val="fr-CA" w:eastAsia="fr-CA"/>
              </w:rPr>
              <w:t>chang</w:t>
            </w:r>
            <w:r w:rsidRPr="00A4777F">
              <w:rPr>
                <w:rFonts w:ascii="Arial Narrow" w:eastAsia="Times New Roman" w:hAnsi="Arial Narrow" w:cs="Times New Roman"/>
                <w:color w:val="000000"/>
                <w:sz w:val="18"/>
                <w:szCs w:val="16"/>
                <w:lang w:val="fr-CA" w:eastAsia="fr-CA"/>
              </w:rPr>
              <w:t>e 1USD=9200</w:t>
            </w:r>
          </w:p>
        </w:tc>
        <w:tc>
          <w:tcPr>
            <w:tcW w:w="1843" w:type="dxa"/>
            <w:tcBorders>
              <w:top w:val="single" w:sz="4" w:space="0" w:color="auto"/>
            </w:tcBorders>
            <w:noWrap/>
            <w:hideMark/>
          </w:tcPr>
          <w:p w14:paraId="21953722" w14:textId="77777777" w:rsidR="0014786C" w:rsidRPr="00A4777F" w:rsidRDefault="0014786C" w:rsidP="00A51E14">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A4777F">
              <w:rPr>
                <w:rFonts w:ascii="Arial Narrow" w:eastAsia="Times New Roman" w:hAnsi="Arial Narrow" w:cs="Times New Roman"/>
                <w:color w:val="000000"/>
                <w:sz w:val="18"/>
                <w:szCs w:val="16"/>
                <w:lang w:val="fr-CA" w:eastAsia="fr-CA"/>
              </w:rPr>
              <w:t> </w:t>
            </w:r>
          </w:p>
        </w:tc>
        <w:tc>
          <w:tcPr>
            <w:tcW w:w="1701" w:type="dxa"/>
            <w:tcBorders>
              <w:top w:val="single" w:sz="4" w:space="0" w:color="auto"/>
            </w:tcBorders>
            <w:noWrap/>
            <w:hideMark/>
          </w:tcPr>
          <w:p w14:paraId="7470E372" w14:textId="77777777" w:rsidR="0014786C" w:rsidRPr="00A4777F" w:rsidRDefault="0014786C" w:rsidP="00A51E14">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18"/>
                <w:szCs w:val="16"/>
                <w:lang w:val="fr-CA" w:eastAsia="fr-CA"/>
              </w:rPr>
            </w:pPr>
            <w:r w:rsidRPr="00A4777F">
              <w:rPr>
                <w:rFonts w:ascii="Arial Narrow" w:eastAsia="Times New Roman" w:hAnsi="Arial Narrow" w:cs="Times New Roman"/>
                <w:color w:val="000000"/>
                <w:sz w:val="18"/>
                <w:szCs w:val="16"/>
                <w:lang w:val="fr-CA" w:eastAsia="fr-CA"/>
              </w:rPr>
              <w:t> </w:t>
            </w:r>
          </w:p>
        </w:tc>
      </w:tr>
    </w:tbl>
    <w:p w14:paraId="2BC555EE" w14:textId="1AFC9745" w:rsidR="0014786C" w:rsidRDefault="0014786C"/>
    <w:p w14:paraId="3602D20D" w14:textId="77777777" w:rsidR="00CD633A" w:rsidRPr="009C56A8" w:rsidRDefault="00CD633A" w:rsidP="00CD633A">
      <w:pPr>
        <w:pStyle w:val="Titre1"/>
        <w:numPr>
          <w:ilvl w:val="0"/>
          <w:numId w:val="6"/>
        </w:numPr>
        <w:spacing w:before="240" w:after="0" w:line="240" w:lineRule="auto"/>
        <w:rPr>
          <w:rStyle w:val="lev"/>
          <w:b/>
          <w:bCs/>
          <w:color w:val="0070C0"/>
        </w:rPr>
      </w:pPr>
      <w:bookmarkStart w:id="57" w:name="_Toc49631562"/>
      <w:bookmarkStart w:id="58" w:name="_Toc49632197"/>
      <w:r w:rsidRPr="009C56A8">
        <w:rPr>
          <w:rStyle w:val="lev"/>
          <w:b/>
          <w:bCs/>
          <w:color w:val="0070C0"/>
        </w:rPr>
        <w:t>MICRO-ÉVALUATION DU SYSTEME ADMINISTRATIF ET FINANCIER DE LA FOSAD</w:t>
      </w:r>
      <w:bookmarkEnd w:id="57"/>
      <w:bookmarkEnd w:id="58"/>
    </w:p>
    <w:p w14:paraId="25411CA2" w14:textId="77777777" w:rsidR="00CD633A" w:rsidRDefault="00CD633A" w:rsidP="00CD633A">
      <w:pPr>
        <w:spacing w:after="0" w:line="240" w:lineRule="auto"/>
        <w:rPr>
          <w:rFonts w:ascii="Arial Narrow" w:hAnsi="Arial Narrow"/>
          <w:sz w:val="24"/>
          <w:szCs w:val="24"/>
        </w:rPr>
      </w:pPr>
      <w:r w:rsidRPr="00C27612">
        <w:rPr>
          <w:rFonts w:ascii="Arial Narrow" w:hAnsi="Arial Narrow"/>
          <w:sz w:val="24"/>
          <w:szCs w:val="24"/>
        </w:rPr>
        <w:t>Le système des Nations Unies à travers l’UNFPA a convié la FOSAD-CEFORPAG à se soumettre à une micro-évaluation de son système de gestion administratif et financier des Institutions partenaires (</w:t>
      </w:r>
      <w:proofErr w:type="spellStart"/>
      <w:r w:rsidRPr="00C27612">
        <w:rPr>
          <w:rFonts w:ascii="Arial Narrow" w:hAnsi="Arial Narrow"/>
          <w:sz w:val="24"/>
          <w:szCs w:val="24"/>
        </w:rPr>
        <w:t>IPs</w:t>
      </w:r>
      <w:proofErr w:type="spellEnd"/>
      <w:r w:rsidRPr="00C27612">
        <w:rPr>
          <w:rFonts w:ascii="Arial Narrow" w:hAnsi="Arial Narrow"/>
          <w:sz w:val="24"/>
          <w:szCs w:val="24"/>
        </w:rPr>
        <w:t>)</w:t>
      </w:r>
      <w:r>
        <w:rPr>
          <w:rFonts w:ascii="Arial Narrow" w:hAnsi="Arial Narrow"/>
          <w:sz w:val="24"/>
          <w:szCs w:val="24"/>
        </w:rPr>
        <w:t xml:space="preserve">. Cette évaluation </w:t>
      </w:r>
      <w:r w:rsidRPr="00C27612">
        <w:rPr>
          <w:rFonts w:ascii="Arial Narrow" w:hAnsi="Arial Narrow"/>
          <w:sz w:val="24"/>
          <w:szCs w:val="24"/>
        </w:rPr>
        <w:t>a été effectuée par le Cabinet Price Waterhouse Cooper (PWC)</w:t>
      </w:r>
      <w:r>
        <w:rPr>
          <w:rFonts w:ascii="Arial Narrow" w:hAnsi="Arial Narrow"/>
          <w:sz w:val="24"/>
          <w:szCs w:val="24"/>
        </w:rPr>
        <w:t>, l</w:t>
      </w:r>
      <w:r w:rsidRPr="00C27612">
        <w:rPr>
          <w:rFonts w:ascii="Arial Narrow" w:hAnsi="Arial Narrow"/>
          <w:sz w:val="24"/>
          <w:szCs w:val="24"/>
        </w:rPr>
        <w:t xml:space="preserve">es résultats ont été satisfaisants et concluent à un risque modéré. Dans le cadre de la mise en œuvre des recommandations de la micro-évaluation des </w:t>
      </w:r>
      <w:r>
        <w:rPr>
          <w:rFonts w:ascii="Arial Narrow" w:hAnsi="Arial Narrow"/>
          <w:sz w:val="24"/>
          <w:szCs w:val="24"/>
        </w:rPr>
        <w:t>partenaires de mise en œuvre (</w:t>
      </w:r>
      <w:proofErr w:type="spellStart"/>
      <w:r w:rsidRPr="00C27612">
        <w:rPr>
          <w:rFonts w:ascii="Arial Narrow" w:hAnsi="Arial Narrow"/>
          <w:sz w:val="24"/>
          <w:szCs w:val="24"/>
        </w:rPr>
        <w:t>IPs</w:t>
      </w:r>
      <w:proofErr w:type="spellEnd"/>
      <w:r>
        <w:rPr>
          <w:rFonts w:ascii="Arial Narrow" w:hAnsi="Arial Narrow"/>
          <w:sz w:val="24"/>
          <w:szCs w:val="24"/>
        </w:rPr>
        <w:t>)</w:t>
      </w:r>
      <w:r w:rsidRPr="00C27612">
        <w:rPr>
          <w:rFonts w:ascii="Arial Narrow" w:hAnsi="Arial Narrow"/>
          <w:sz w:val="24"/>
          <w:szCs w:val="24"/>
        </w:rPr>
        <w:t>, PWC a conduit une formation des cadres de ces organisations sur les procédures de gestion comptable et financière du système des Nations Unies à Kindia (26 au 29 Novembre 2018)</w:t>
      </w:r>
      <w:r>
        <w:rPr>
          <w:rFonts w:ascii="Arial Narrow" w:hAnsi="Arial Narrow"/>
          <w:sz w:val="24"/>
          <w:szCs w:val="24"/>
        </w:rPr>
        <w:t>.</w:t>
      </w:r>
    </w:p>
    <w:p w14:paraId="6743FB0B" w14:textId="0B22C299" w:rsidR="00CD633A" w:rsidRDefault="00CD633A"/>
    <w:p w14:paraId="4F90154A" w14:textId="317A9A78" w:rsidR="00CD633A" w:rsidRDefault="00CD633A"/>
    <w:p w14:paraId="4A9EED9C" w14:textId="77777777" w:rsidR="00C863E5" w:rsidRPr="00D47A34" w:rsidRDefault="00C863E5" w:rsidP="00C863E5">
      <w:pPr>
        <w:pStyle w:val="Titre1"/>
        <w:numPr>
          <w:ilvl w:val="0"/>
          <w:numId w:val="6"/>
        </w:numPr>
        <w:spacing w:before="0" w:after="0" w:line="240" w:lineRule="auto"/>
        <w:rPr>
          <w:rStyle w:val="lev"/>
          <w:b/>
          <w:bCs/>
          <w:color w:val="0070C0"/>
        </w:rPr>
      </w:pPr>
      <w:bookmarkStart w:id="59" w:name="_Toc411577747"/>
      <w:bookmarkStart w:id="60" w:name="_Toc411595618"/>
      <w:bookmarkStart w:id="61" w:name="_Toc49631563"/>
      <w:bookmarkStart w:id="62" w:name="_Toc49632198"/>
      <w:r w:rsidRPr="00D47A34">
        <w:rPr>
          <w:rStyle w:val="lev"/>
          <w:b/>
          <w:bCs/>
          <w:color w:val="0070C0"/>
        </w:rPr>
        <w:t>ACCORDS DE PARTENARIAT ET RELATIONS AVEC LES TUTELLES</w:t>
      </w:r>
      <w:bookmarkEnd w:id="59"/>
      <w:bookmarkEnd w:id="60"/>
      <w:bookmarkEnd w:id="61"/>
      <w:bookmarkEnd w:id="62"/>
    </w:p>
    <w:p w14:paraId="4E0E5861" w14:textId="77777777" w:rsidR="00C863E5" w:rsidRPr="00D01AF2" w:rsidRDefault="00C863E5" w:rsidP="00C863E5">
      <w:pPr>
        <w:pStyle w:val="Titre1"/>
        <w:numPr>
          <w:ilvl w:val="1"/>
          <w:numId w:val="6"/>
        </w:numPr>
        <w:spacing w:before="0" w:after="0" w:line="240" w:lineRule="auto"/>
      </w:pPr>
      <w:bookmarkStart w:id="63" w:name="_Toc411577748"/>
      <w:bookmarkStart w:id="64" w:name="_Toc411595619"/>
      <w:bookmarkStart w:id="65" w:name="_Toc49631564"/>
      <w:bookmarkStart w:id="66" w:name="_Toc49632199"/>
      <w:r w:rsidRPr="00D01AF2">
        <w:t>MINISTÈRE DE LA SANTÉ (MS)</w:t>
      </w:r>
      <w:bookmarkEnd w:id="63"/>
      <w:bookmarkEnd w:id="64"/>
      <w:bookmarkEnd w:id="65"/>
      <w:bookmarkEnd w:id="66"/>
    </w:p>
    <w:p w14:paraId="176171DC" w14:textId="77777777" w:rsidR="00C863E5" w:rsidRPr="00DB17B7" w:rsidRDefault="00C863E5" w:rsidP="00C863E5">
      <w:pPr>
        <w:jc w:val="both"/>
        <w:rPr>
          <w:rFonts w:ascii="Arial Narrow" w:hAnsi="Arial Narrow"/>
          <w:sz w:val="24"/>
          <w:szCs w:val="24"/>
        </w:rPr>
      </w:pPr>
      <w:r w:rsidRPr="00DB17B7">
        <w:rPr>
          <w:rFonts w:ascii="Arial Narrow" w:hAnsi="Arial Narrow"/>
          <w:sz w:val="24"/>
          <w:szCs w:val="24"/>
        </w:rPr>
        <w:t xml:space="preserve">En plus du protocole d’accord entre la FOSAD et le MS, La Fondation FOSAD a établi un rapport de collaboration étroite avec les autorités sanitaires décentralisées qui se sont traduites par des accords de partenariat avec la DPS de Dubréka, et la Direction de la Santé de la Ville de Conakry. Des bons rapports ont également été tissés avec les DSP de Forécariah, COA, </w:t>
      </w:r>
      <w:proofErr w:type="spellStart"/>
      <w:r w:rsidRPr="00DB17B7">
        <w:rPr>
          <w:rFonts w:ascii="Arial Narrow" w:hAnsi="Arial Narrow"/>
          <w:sz w:val="24"/>
          <w:szCs w:val="24"/>
        </w:rPr>
        <w:t>Gueckédou</w:t>
      </w:r>
      <w:proofErr w:type="spellEnd"/>
      <w:r w:rsidRPr="00DB17B7">
        <w:rPr>
          <w:rFonts w:ascii="Arial Narrow" w:hAnsi="Arial Narrow"/>
          <w:sz w:val="24"/>
          <w:szCs w:val="24"/>
        </w:rPr>
        <w:t>, Macenta durant l’étude EBOSEX sur les survivants. La DPS a commencé à superviser les activités de la PCM de Kéitayah.</w:t>
      </w:r>
    </w:p>
    <w:p w14:paraId="1059B8A0" w14:textId="77777777" w:rsidR="00C863E5" w:rsidRPr="00C04734" w:rsidRDefault="00C863E5" w:rsidP="00C863E5">
      <w:pPr>
        <w:pStyle w:val="Titre1"/>
        <w:numPr>
          <w:ilvl w:val="1"/>
          <w:numId w:val="6"/>
        </w:numPr>
        <w:spacing w:before="0" w:after="0" w:line="240" w:lineRule="auto"/>
      </w:pPr>
      <w:bookmarkStart w:id="67" w:name="_Toc411577749"/>
      <w:bookmarkStart w:id="68" w:name="_Toc411595620"/>
      <w:bookmarkStart w:id="69" w:name="_Toc49631565"/>
      <w:bookmarkStart w:id="70" w:name="_Toc49632200"/>
      <w:r w:rsidRPr="00C04734">
        <w:lastRenderedPageBreak/>
        <w:t>MINISTÈRE DE L’ENSEIGNEMENT SUPÉRIEUR ET DE LA RECHERCHE SCIENTIFIQUE (MESRS)</w:t>
      </w:r>
      <w:bookmarkEnd w:id="67"/>
      <w:bookmarkEnd w:id="68"/>
      <w:bookmarkEnd w:id="69"/>
      <w:bookmarkEnd w:id="70"/>
    </w:p>
    <w:p w14:paraId="5D0C9256" w14:textId="77777777" w:rsidR="00C863E5" w:rsidRDefault="00C863E5" w:rsidP="00C863E5">
      <w:pPr>
        <w:spacing w:after="0" w:line="240" w:lineRule="auto"/>
        <w:jc w:val="both"/>
        <w:rPr>
          <w:rFonts w:ascii="Arial Narrow" w:hAnsi="Arial Narrow"/>
          <w:sz w:val="24"/>
          <w:szCs w:val="24"/>
        </w:rPr>
      </w:pPr>
      <w:r w:rsidRPr="00B75B9E">
        <w:rPr>
          <w:rFonts w:ascii="Arial Narrow" w:hAnsi="Arial Narrow"/>
          <w:sz w:val="24"/>
          <w:szCs w:val="24"/>
        </w:rPr>
        <w:t>Un Accord de partenariat a été signé avec le MESRS le Novembre 2017 qui permet à la FOSAD de travailler dans un cadre institutionnel avec les établissements/ Institutions du MESRS. Un avenant d’extension de ce partenariat avec la Faculté des sciences et techniques en santé (FSTS-UGAN Conakry a été également signé.</w:t>
      </w:r>
    </w:p>
    <w:p w14:paraId="4656E0A2" w14:textId="77777777" w:rsidR="00C863E5" w:rsidRPr="00B75B9E" w:rsidRDefault="00C863E5" w:rsidP="00C863E5">
      <w:pPr>
        <w:spacing w:after="0" w:line="240" w:lineRule="auto"/>
        <w:jc w:val="both"/>
        <w:rPr>
          <w:rFonts w:ascii="Arial Narrow" w:hAnsi="Arial Narrow"/>
          <w:sz w:val="24"/>
          <w:szCs w:val="24"/>
        </w:rPr>
      </w:pPr>
    </w:p>
    <w:p w14:paraId="0DF47634" w14:textId="77777777" w:rsidR="00C863E5" w:rsidRPr="00234C42" w:rsidRDefault="00C863E5" w:rsidP="00C863E5">
      <w:pPr>
        <w:pStyle w:val="Titre1"/>
        <w:numPr>
          <w:ilvl w:val="1"/>
          <w:numId w:val="6"/>
        </w:numPr>
        <w:spacing w:before="0" w:after="0" w:line="240" w:lineRule="auto"/>
      </w:pPr>
      <w:bookmarkStart w:id="71" w:name="_Toc49631566"/>
      <w:bookmarkStart w:id="72" w:name="_Toc49632201"/>
      <w:bookmarkStart w:id="73" w:name="_Toc411577750"/>
      <w:bookmarkStart w:id="74" w:name="_Toc411595621"/>
      <w:r>
        <w:t xml:space="preserve">PARTENARIAT ET </w:t>
      </w:r>
      <w:r w:rsidRPr="00234C42">
        <w:t>VISITES</w:t>
      </w:r>
      <w:r>
        <w:t xml:space="preserve"> RECUES</w:t>
      </w:r>
      <w:bookmarkEnd w:id="71"/>
      <w:bookmarkEnd w:id="72"/>
      <w:r w:rsidRPr="00234C42">
        <w:t xml:space="preserve">  </w:t>
      </w:r>
      <w:bookmarkEnd w:id="73"/>
      <w:bookmarkEnd w:id="74"/>
    </w:p>
    <w:p w14:paraId="76676A13" w14:textId="77777777" w:rsidR="00C863E5" w:rsidRPr="00B75B9E" w:rsidRDefault="00C863E5" w:rsidP="00C863E5">
      <w:pPr>
        <w:spacing w:after="0" w:line="240" w:lineRule="auto"/>
        <w:jc w:val="both"/>
        <w:rPr>
          <w:rFonts w:ascii="Arial Narrow" w:hAnsi="Arial Narrow"/>
          <w:sz w:val="24"/>
          <w:szCs w:val="24"/>
        </w:rPr>
      </w:pPr>
      <w:r w:rsidRPr="00B75B9E">
        <w:rPr>
          <w:rFonts w:ascii="Arial Narrow" w:hAnsi="Arial Narrow"/>
          <w:sz w:val="24"/>
          <w:szCs w:val="24"/>
        </w:rPr>
        <w:t xml:space="preserve">De nombreuses personnalités ont eu l’occasion de visiter le siège de la Fondation FOSAD et son Centre de recherche CEFORPAG à </w:t>
      </w:r>
      <w:proofErr w:type="spellStart"/>
      <w:r w:rsidRPr="00B75B9E">
        <w:rPr>
          <w:rFonts w:ascii="Arial Narrow" w:hAnsi="Arial Narrow"/>
          <w:sz w:val="24"/>
          <w:szCs w:val="24"/>
        </w:rPr>
        <w:t>Nongo</w:t>
      </w:r>
      <w:proofErr w:type="spellEnd"/>
      <w:r w:rsidRPr="00B75B9E">
        <w:rPr>
          <w:rFonts w:ascii="Arial Narrow" w:hAnsi="Arial Narrow"/>
          <w:sz w:val="24"/>
          <w:szCs w:val="24"/>
        </w:rPr>
        <w:t>, de même la PCM de Kéitayah :</w:t>
      </w:r>
    </w:p>
    <w:p w14:paraId="785D5C27" w14:textId="77777777" w:rsidR="00C863E5" w:rsidRPr="00B75B9E" w:rsidRDefault="00C863E5" w:rsidP="00C863E5">
      <w:pPr>
        <w:pStyle w:val="Paragraphedeliste"/>
        <w:numPr>
          <w:ilvl w:val="0"/>
          <w:numId w:val="14"/>
        </w:numPr>
        <w:spacing w:after="0" w:line="240" w:lineRule="auto"/>
        <w:rPr>
          <w:rFonts w:ascii="Arial Narrow" w:hAnsi="Arial Narrow"/>
          <w:sz w:val="24"/>
          <w:szCs w:val="24"/>
        </w:rPr>
      </w:pPr>
      <w:r w:rsidRPr="00B75B9E">
        <w:rPr>
          <w:rFonts w:ascii="Arial Narrow" w:hAnsi="Arial Narrow"/>
          <w:sz w:val="24"/>
          <w:szCs w:val="24"/>
        </w:rPr>
        <w:t>La Directrice Nationale DNSFN en visite à la PCM de Kirikilan et au siège de la FOSAD-CFORGAG</w:t>
      </w:r>
    </w:p>
    <w:p w14:paraId="30A52ABF" w14:textId="77777777" w:rsidR="00C863E5" w:rsidRPr="00B75B9E" w:rsidRDefault="00C863E5" w:rsidP="00C863E5">
      <w:pPr>
        <w:pStyle w:val="Paragraphedeliste"/>
        <w:numPr>
          <w:ilvl w:val="0"/>
          <w:numId w:val="14"/>
        </w:numPr>
        <w:rPr>
          <w:rFonts w:ascii="Arial Narrow" w:hAnsi="Arial Narrow"/>
          <w:sz w:val="24"/>
          <w:szCs w:val="24"/>
        </w:rPr>
      </w:pPr>
      <w:r w:rsidRPr="00B75B9E">
        <w:rPr>
          <w:rFonts w:ascii="Arial Narrow" w:hAnsi="Arial Narrow"/>
          <w:sz w:val="24"/>
          <w:szCs w:val="24"/>
        </w:rPr>
        <w:t>Le</w:t>
      </w:r>
      <w:r w:rsidRPr="00B75B9E">
        <w:rPr>
          <w:rFonts w:ascii="Arial Narrow" w:hAnsi="Arial Narrow"/>
          <w:color w:val="000000" w:themeColor="text1"/>
          <w:kern w:val="24"/>
          <w:sz w:val="24"/>
          <w:szCs w:val="24"/>
        </w:rPr>
        <w:t xml:space="preserve"> Représentant UNFPA Guinée affecté, a pu trouver le temps de venir dire aurevoir à la FOSAD et faire Don d’un véhicule. </w:t>
      </w:r>
    </w:p>
    <w:p w14:paraId="4B65AE7D" w14:textId="77777777" w:rsidR="00C863E5" w:rsidRPr="00B75B9E" w:rsidRDefault="00C863E5" w:rsidP="00C863E5">
      <w:pPr>
        <w:pStyle w:val="Paragraphedeliste"/>
        <w:numPr>
          <w:ilvl w:val="0"/>
          <w:numId w:val="14"/>
        </w:numPr>
        <w:rPr>
          <w:rFonts w:ascii="Arial Narrow" w:hAnsi="Arial Narrow"/>
          <w:sz w:val="24"/>
          <w:szCs w:val="24"/>
        </w:rPr>
      </w:pPr>
      <w:r w:rsidRPr="00B75B9E">
        <w:rPr>
          <w:rFonts w:ascii="Arial Narrow" w:hAnsi="Arial Narrow"/>
          <w:sz w:val="24"/>
          <w:szCs w:val="24"/>
        </w:rPr>
        <w:t>Visite de SEM l’Ambassadrice UK &amp; Équipe investigateurs Projet EVIDENT immunologie Survivants Ébola</w:t>
      </w:r>
    </w:p>
    <w:p w14:paraId="16E3C7BB" w14:textId="77777777" w:rsidR="00C863E5" w:rsidRPr="00B75B9E" w:rsidRDefault="00C863E5" w:rsidP="00C863E5">
      <w:pPr>
        <w:pStyle w:val="Paragraphedeliste"/>
        <w:numPr>
          <w:ilvl w:val="0"/>
          <w:numId w:val="14"/>
        </w:numPr>
        <w:rPr>
          <w:rFonts w:ascii="Arial Narrow" w:hAnsi="Arial Narrow"/>
          <w:sz w:val="24"/>
          <w:szCs w:val="24"/>
        </w:rPr>
      </w:pPr>
      <w:r w:rsidRPr="00B75B9E">
        <w:rPr>
          <w:rFonts w:ascii="Arial Narrow" w:hAnsi="Arial Narrow"/>
          <w:sz w:val="24"/>
          <w:szCs w:val="24"/>
        </w:rPr>
        <w:t xml:space="preserve">SEM Ministre de la Santé du Mali lors de la Réunion du West </w:t>
      </w:r>
      <w:proofErr w:type="spellStart"/>
      <w:r w:rsidRPr="00B75B9E">
        <w:rPr>
          <w:rFonts w:ascii="Arial Narrow" w:hAnsi="Arial Narrow"/>
          <w:sz w:val="24"/>
          <w:szCs w:val="24"/>
        </w:rPr>
        <w:t>African</w:t>
      </w:r>
      <w:proofErr w:type="spellEnd"/>
      <w:r w:rsidRPr="00B75B9E">
        <w:rPr>
          <w:rFonts w:ascii="Arial Narrow" w:hAnsi="Arial Narrow"/>
          <w:sz w:val="24"/>
          <w:szCs w:val="24"/>
        </w:rPr>
        <w:t xml:space="preserve"> Consortium (WAC) sur la recherche clinique</w:t>
      </w:r>
    </w:p>
    <w:p w14:paraId="134FABBA" w14:textId="77777777" w:rsidR="00C863E5" w:rsidRPr="009C56A8" w:rsidRDefault="00C863E5" w:rsidP="00C863E5">
      <w:pPr>
        <w:pStyle w:val="Titre1"/>
        <w:numPr>
          <w:ilvl w:val="0"/>
          <w:numId w:val="6"/>
        </w:numPr>
        <w:spacing w:before="240" w:after="0" w:line="240" w:lineRule="auto"/>
        <w:rPr>
          <w:rStyle w:val="lev"/>
          <w:b/>
          <w:bCs/>
          <w:color w:val="0070C0"/>
        </w:rPr>
      </w:pPr>
      <w:bookmarkStart w:id="75" w:name="_Toc49631567"/>
      <w:bookmarkStart w:id="76" w:name="_Toc49632202"/>
      <w:bookmarkStart w:id="77" w:name="_Toc411577751"/>
      <w:bookmarkStart w:id="78" w:name="_Toc411595623"/>
      <w:r w:rsidRPr="009C56A8">
        <w:rPr>
          <w:rStyle w:val="lev"/>
          <w:b/>
          <w:bCs/>
          <w:color w:val="0070C0"/>
        </w:rPr>
        <w:t>CONTRAINTES ET OBSTACLES DE LA FOSAD</w:t>
      </w:r>
      <w:bookmarkEnd w:id="75"/>
      <w:bookmarkEnd w:id="76"/>
      <w:r w:rsidRPr="009C56A8">
        <w:rPr>
          <w:rStyle w:val="lev"/>
          <w:b/>
          <w:bCs/>
          <w:color w:val="0070C0"/>
        </w:rPr>
        <w:t xml:space="preserve"> </w:t>
      </w:r>
      <w:bookmarkEnd w:id="77"/>
      <w:bookmarkEnd w:id="78"/>
    </w:p>
    <w:p w14:paraId="727BC2FA" w14:textId="77777777" w:rsidR="00C863E5" w:rsidRPr="00B75B9E" w:rsidRDefault="00C863E5" w:rsidP="00C863E5">
      <w:pPr>
        <w:jc w:val="both"/>
        <w:rPr>
          <w:rFonts w:ascii="Arial Narrow" w:hAnsi="Arial Narrow"/>
          <w:sz w:val="24"/>
          <w:szCs w:val="24"/>
        </w:rPr>
      </w:pPr>
      <w:r w:rsidRPr="00B75B9E">
        <w:rPr>
          <w:rFonts w:ascii="Arial Narrow" w:hAnsi="Arial Narrow"/>
          <w:sz w:val="24"/>
          <w:szCs w:val="24"/>
        </w:rPr>
        <w:t xml:space="preserve">Parmi les principales contraintes et obstacles auxquels la FOSAD fait face, sont entre autres : </w:t>
      </w:r>
    </w:p>
    <w:p w14:paraId="10F3EACF" w14:textId="77777777" w:rsidR="00C863E5" w:rsidRPr="00B75B9E" w:rsidRDefault="00C863E5" w:rsidP="00C863E5">
      <w:pPr>
        <w:pStyle w:val="Paragraphedeliste"/>
        <w:numPr>
          <w:ilvl w:val="0"/>
          <w:numId w:val="15"/>
        </w:numPr>
        <w:spacing w:after="0" w:line="240" w:lineRule="auto"/>
        <w:ind w:left="284" w:hanging="284"/>
        <w:jc w:val="both"/>
        <w:rPr>
          <w:rFonts w:ascii="Arial Narrow" w:hAnsi="Arial Narrow"/>
          <w:sz w:val="24"/>
          <w:szCs w:val="24"/>
        </w:rPr>
      </w:pPr>
      <w:r w:rsidRPr="00B75B9E">
        <w:rPr>
          <w:rFonts w:ascii="Arial Narrow" w:hAnsi="Arial Narrow"/>
          <w:sz w:val="24"/>
          <w:szCs w:val="24"/>
        </w:rPr>
        <w:t xml:space="preserve">La faiblesse des ressources financières pour faire face aux différentes dépenses de la FOSAD, de CEFORPAG et de la PCM. </w:t>
      </w:r>
    </w:p>
    <w:p w14:paraId="7883AF95" w14:textId="77777777" w:rsidR="00C863E5" w:rsidRPr="00B75B9E" w:rsidRDefault="00C863E5" w:rsidP="00C863E5">
      <w:pPr>
        <w:pStyle w:val="Paragraphedeliste"/>
        <w:numPr>
          <w:ilvl w:val="0"/>
          <w:numId w:val="15"/>
        </w:numPr>
        <w:spacing w:after="0" w:line="240" w:lineRule="auto"/>
        <w:ind w:left="284" w:hanging="284"/>
        <w:jc w:val="both"/>
        <w:rPr>
          <w:rFonts w:ascii="Arial Narrow" w:hAnsi="Arial Narrow"/>
          <w:sz w:val="24"/>
          <w:szCs w:val="24"/>
        </w:rPr>
      </w:pPr>
      <w:r w:rsidRPr="00B75B9E">
        <w:rPr>
          <w:rFonts w:ascii="Arial Narrow" w:hAnsi="Arial Narrow"/>
          <w:sz w:val="24"/>
          <w:szCs w:val="24"/>
        </w:rPr>
        <w:t>Les recettes générées sont encore faibles par rapport aux dépenses. Pour équilibrer les comptes la FOSAD est obligée d’utiliser ces fonds propres</w:t>
      </w:r>
    </w:p>
    <w:p w14:paraId="6EF3E3A8" w14:textId="77777777" w:rsidR="00C863E5" w:rsidRPr="00B75B9E" w:rsidRDefault="00C863E5" w:rsidP="00C863E5">
      <w:pPr>
        <w:pStyle w:val="Paragraphedeliste"/>
        <w:numPr>
          <w:ilvl w:val="0"/>
          <w:numId w:val="15"/>
        </w:numPr>
        <w:spacing w:after="0" w:line="240" w:lineRule="auto"/>
        <w:ind w:left="284" w:hanging="284"/>
        <w:jc w:val="both"/>
        <w:rPr>
          <w:rFonts w:ascii="Arial Narrow" w:hAnsi="Arial Narrow"/>
          <w:sz w:val="24"/>
          <w:szCs w:val="24"/>
        </w:rPr>
      </w:pPr>
      <w:r w:rsidRPr="00B75B9E">
        <w:rPr>
          <w:rFonts w:ascii="Arial Narrow" w:hAnsi="Arial Narrow"/>
          <w:sz w:val="24"/>
          <w:szCs w:val="24"/>
        </w:rPr>
        <w:t>La faiblesse d’implication de l’État malgré que le CEFORPAG et la PCM ont une mission de santé publique en complément des efforts de l’État.</w:t>
      </w:r>
    </w:p>
    <w:p w14:paraId="1D71A00A" w14:textId="77777777" w:rsidR="00C863E5" w:rsidRPr="00B75B9E" w:rsidRDefault="00C863E5" w:rsidP="00C863E5">
      <w:pPr>
        <w:pStyle w:val="Paragraphedeliste"/>
        <w:numPr>
          <w:ilvl w:val="0"/>
          <w:numId w:val="15"/>
        </w:numPr>
        <w:spacing w:after="0" w:line="240" w:lineRule="auto"/>
        <w:ind w:left="284" w:hanging="284"/>
        <w:jc w:val="both"/>
        <w:rPr>
          <w:rFonts w:ascii="Arial Narrow" w:hAnsi="Arial Narrow"/>
          <w:sz w:val="24"/>
          <w:szCs w:val="24"/>
        </w:rPr>
      </w:pPr>
      <w:r w:rsidRPr="00B75B9E">
        <w:rPr>
          <w:rFonts w:ascii="Arial Narrow" w:hAnsi="Arial Narrow"/>
          <w:sz w:val="24"/>
          <w:szCs w:val="24"/>
        </w:rPr>
        <w:t>La faible capacité de paiement des populations à la PCM de Kéitayah, limitant l’utilisation des services</w:t>
      </w:r>
    </w:p>
    <w:p w14:paraId="2B156ACA" w14:textId="77777777" w:rsidR="00C863E5" w:rsidRPr="00B75B9E" w:rsidRDefault="00C863E5" w:rsidP="00C863E5">
      <w:pPr>
        <w:pStyle w:val="Paragraphedeliste"/>
        <w:numPr>
          <w:ilvl w:val="0"/>
          <w:numId w:val="15"/>
        </w:numPr>
        <w:spacing w:after="0" w:line="240" w:lineRule="auto"/>
        <w:ind w:left="284" w:hanging="284"/>
        <w:jc w:val="both"/>
        <w:rPr>
          <w:rFonts w:ascii="Arial Narrow" w:hAnsi="Arial Narrow"/>
          <w:sz w:val="24"/>
          <w:szCs w:val="24"/>
        </w:rPr>
      </w:pPr>
      <w:r w:rsidRPr="00B75B9E">
        <w:rPr>
          <w:rFonts w:ascii="Arial Narrow" w:hAnsi="Arial Narrow"/>
          <w:sz w:val="24"/>
          <w:szCs w:val="24"/>
        </w:rPr>
        <w:t xml:space="preserve">La difficulté de recruter de personnel de haut niveau, compte tenu du niveau de rémunération exigé. Ceci devient une charge </w:t>
      </w:r>
    </w:p>
    <w:p w14:paraId="6FAE81F9" w14:textId="77777777" w:rsidR="00C863E5" w:rsidRPr="00B75B9E" w:rsidRDefault="00C863E5" w:rsidP="00C863E5">
      <w:pPr>
        <w:pStyle w:val="Paragraphedeliste"/>
        <w:numPr>
          <w:ilvl w:val="0"/>
          <w:numId w:val="15"/>
        </w:numPr>
        <w:spacing w:after="0" w:line="240" w:lineRule="auto"/>
        <w:ind w:left="284" w:hanging="284"/>
        <w:jc w:val="both"/>
        <w:rPr>
          <w:rFonts w:ascii="Arial Narrow" w:hAnsi="Arial Narrow"/>
          <w:sz w:val="24"/>
          <w:szCs w:val="24"/>
        </w:rPr>
      </w:pPr>
      <w:r w:rsidRPr="00B75B9E">
        <w:rPr>
          <w:rFonts w:ascii="Arial Narrow" w:hAnsi="Arial Narrow"/>
          <w:sz w:val="24"/>
          <w:szCs w:val="24"/>
        </w:rPr>
        <w:t>La faiblesse de l’approvisionnement électrique qui oblige une consommation excessive des groupes électrogènes et conséquemment du carburant.</w:t>
      </w:r>
    </w:p>
    <w:p w14:paraId="4784BEF7" w14:textId="77777777" w:rsidR="00C863E5" w:rsidRDefault="00C863E5"/>
    <w:sectPr w:rsidR="00C863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A9360" w14:textId="77777777" w:rsidR="00F91A2D" w:rsidRDefault="00F91A2D" w:rsidP="000B3DD8">
      <w:pPr>
        <w:spacing w:after="0" w:line="240" w:lineRule="auto"/>
      </w:pPr>
      <w:r>
        <w:separator/>
      </w:r>
    </w:p>
  </w:endnote>
  <w:endnote w:type="continuationSeparator" w:id="0">
    <w:p w14:paraId="3F78C2DC" w14:textId="77777777" w:rsidR="00F91A2D" w:rsidRDefault="00F91A2D" w:rsidP="000B3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CE523" w14:textId="77777777" w:rsidR="00F91A2D" w:rsidRDefault="00F91A2D" w:rsidP="000B3DD8">
      <w:pPr>
        <w:spacing w:after="0" w:line="240" w:lineRule="auto"/>
      </w:pPr>
      <w:r>
        <w:separator/>
      </w:r>
    </w:p>
  </w:footnote>
  <w:footnote w:type="continuationSeparator" w:id="0">
    <w:p w14:paraId="4D752621" w14:textId="77777777" w:rsidR="00F91A2D" w:rsidRDefault="00F91A2D" w:rsidP="000B3DD8">
      <w:pPr>
        <w:spacing w:after="0" w:line="240" w:lineRule="auto"/>
      </w:pPr>
      <w:r>
        <w:continuationSeparator/>
      </w:r>
    </w:p>
  </w:footnote>
  <w:footnote w:id="1">
    <w:p w14:paraId="5B039241" w14:textId="77777777" w:rsidR="000B3DD8" w:rsidRPr="00AB4A93" w:rsidRDefault="000B3DD8" w:rsidP="000B3DD8">
      <w:pPr>
        <w:pStyle w:val="Notedebasdepage"/>
        <w:rPr>
          <w:rFonts w:ascii="Arial Narrow" w:hAnsi="Arial Narrow"/>
          <w:i/>
          <w:sz w:val="20"/>
          <w:lang w:val="en-US"/>
        </w:rPr>
      </w:pPr>
      <w:r>
        <w:rPr>
          <w:rStyle w:val="Appelnotedebasdep"/>
        </w:rPr>
        <w:footnoteRef/>
      </w:r>
      <w:r w:rsidRPr="00AB4A93">
        <w:rPr>
          <w:lang w:val="en-US"/>
        </w:rPr>
        <w:t xml:space="preserve"> </w:t>
      </w:r>
      <w:r w:rsidRPr="00AB4A93">
        <w:rPr>
          <w:rFonts w:ascii="Arial Narrow" w:hAnsi="Arial Narrow"/>
          <w:i/>
          <w:sz w:val="20"/>
          <w:lang w:val="en-US"/>
        </w:rPr>
        <w:t xml:space="preserve">Eleanor N. Fish, PhD, FAAS, CRC Women's Health &amp; Immunobiology, Senior Scientist, Toronto General Hospital Research Institute, University Health Network. Professor, Dept. Immunology, University of Toronto, Toronto General Hospital Research </w:t>
      </w:r>
      <w:proofErr w:type="gramStart"/>
      <w:r w:rsidRPr="00AB4A93">
        <w:rPr>
          <w:rFonts w:ascii="Arial Narrow" w:hAnsi="Arial Narrow"/>
          <w:i/>
          <w:sz w:val="20"/>
          <w:lang w:val="en-US"/>
        </w:rPr>
        <w:t>Institute ,</w:t>
      </w:r>
      <w:proofErr w:type="gramEnd"/>
      <w:r w:rsidRPr="00AB4A93">
        <w:rPr>
          <w:rFonts w:ascii="Arial Narrow" w:hAnsi="Arial Narrow"/>
          <w:i/>
          <w:sz w:val="20"/>
          <w:lang w:val="en-US"/>
        </w:rPr>
        <w:t xml:space="preserve"> 67 College St. Rm. 424, Toronto, Ontario M5G 2M1, Canada</w:t>
      </w:r>
    </w:p>
  </w:footnote>
  <w:footnote w:id="2">
    <w:p w14:paraId="330EAD24" w14:textId="77777777" w:rsidR="000B3DD8" w:rsidRPr="00556E14" w:rsidRDefault="000B3DD8" w:rsidP="000B3DD8">
      <w:pPr>
        <w:widowControl w:val="0"/>
        <w:autoSpaceDE w:val="0"/>
        <w:autoSpaceDN w:val="0"/>
        <w:adjustRightInd w:val="0"/>
        <w:spacing w:after="0" w:line="240" w:lineRule="auto"/>
        <w:rPr>
          <w:rFonts w:ascii="Arial Narrow" w:hAnsi="Arial Narrow"/>
          <w:sz w:val="20"/>
          <w:lang w:val="en-US"/>
        </w:rPr>
      </w:pPr>
      <w:r>
        <w:rPr>
          <w:rStyle w:val="Appelnotedebasdep"/>
        </w:rPr>
        <w:footnoteRef/>
      </w:r>
      <w:r w:rsidRPr="00556E14">
        <w:rPr>
          <w:lang w:val="en-US"/>
        </w:rPr>
        <w:t xml:space="preserve"> </w:t>
      </w:r>
      <w:proofErr w:type="spellStart"/>
      <w:r w:rsidRPr="00556E14">
        <w:rPr>
          <w:rFonts w:ascii="Arial Narrow" w:hAnsi="Arial Narrow"/>
          <w:sz w:val="20"/>
          <w:lang w:val="en-US"/>
        </w:rPr>
        <w:t>Konde</w:t>
      </w:r>
      <w:proofErr w:type="spellEnd"/>
      <w:r w:rsidRPr="00556E14">
        <w:rPr>
          <w:rFonts w:ascii="Arial Narrow" w:hAnsi="Arial Narrow"/>
          <w:sz w:val="20"/>
          <w:lang w:val="en-US"/>
        </w:rPr>
        <w:t xml:space="preserve"> MK, Baker DP &amp; </w:t>
      </w:r>
      <w:proofErr w:type="gramStart"/>
      <w:r w:rsidRPr="00556E14">
        <w:rPr>
          <w:rFonts w:ascii="Arial Narrow" w:hAnsi="Arial Narrow"/>
          <w:sz w:val="20"/>
          <w:lang w:val="en-US"/>
        </w:rPr>
        <w:t>al :</w:t>
      </w:r>
      <w:proofErr w:type="gramEnd"/>
      <w:r w:rsidRPr="00556E14">
        <w:rPr>
          <w:rFonts w:ascii="Arial Narrow" w:hAnsi="Arial Narrow"/>
          <w:sz w:val="20"/>
          <w:lang w:val="en-US"/>
        </w:rPr>
        <w:t xml:space="preserve"> (2017) Interferon </w:t>
      </w:r>
      <w:r w:rsidRPr="00FD7F35">
        <w:rPr>
          <w:rFonts w:ascii="Times New Roman" w:hAnsi="Times New Roman"/>
          <w:sz w:val="20"/>
        </w:rPr>
        <w:t>β</w:t>
      </w:r>
      <w:r w:rsidRPr="00556E14">
        <w:rPr>
          <w:rFonts w:ascii="Arial Narrow" w:hAnsi="Arial Narrow"/>
          <w:sz w:val="20"/>
          <w:lang w:val="en-US"/>
        </w:rPr>
        <w:t xml:space="preserve">-1a for the treatment of Ebola virus disease: A historically controlled, single-arm proof-of-concept trial. </w:t>
      </w:r>
      <w:proofErr w:type="spellStart"/>
      <w:r w:rsidRPr="00556E14">
        <w:rPr>
          <w:rFonts w:ascii="Arial Narrow" w:hAnsi="Arial Narrow"/>
          <w:sz w:val="20"/>
          <w:lang w:val="en-US"/>
        </w:rPr>
        <w:t>PLoS</w:t>
      </w:r>
      <w:proofErr w:type="spellEnd"/>
      <w:r w:rsidRPr="00556E14">
        <w:rPr>
          <w:rFonts w:ascii="Arial Narrow" w:hAnsi="Arial Narrow"/>
          <w:sz w:val="20"/>
          <w:lang w:val="en-US"/>
        </w:rPr>
        <w:t xml:space="preserve"> ONE 12(2): e0169255. doi:10.1371/ </w:t>
      </w:r>
      <w:proofErr w:type="gramStart"/>
      <w:r w:rsidRPr="00556E14">
        <w:rPr>
          <w:rFonts w:ascii="Arial Narrow" w:hAnsi="Arial Narrow"/>
          <w:sz w:val="20"/>
          <w:lang w:val="en-US"/>
        </w:rPr>
        <w:t>journal.pone</w:t>
      </w:r>
      <w:proofErr w:type="gramEnd"/>
      <w:r w:rsidRPr="00556E14">
        <w:rPr>
          <w:rFonts w:ascii="Arial Narrow" w:hAnsi="Arial Narrow"/>
          <w:sz w:val="20"/>
          <w:lang w:val="en-US"/>
        </w:rPr>
        <w:t xml:space="preserve">.0169255: </w:t>
      </w:r>
    </w:p>
    <w:p w14:paraId="55151CA3" w14:textId="77777777" w:rsidR="000B3DD8" w:rsidRPr="00556E14" w:rsidRDefault="000B3DD8" w:rsidP="000B3DD8">
      <w:pPr>
        <w:pStyle w:val="Notedebasdepage"/>
        <w:rPr>
          <w:sz w:val="20"/>
          <w:lang w:val="en-US"/>
        </w:rPr>
      </w:pPr>
    </w:p>
  </w:footnote>
  <w:footnote w:id="3">
    <w:p w14:paraId="25F87BE6" w14:textId="77777777" w:rsidR="000B3DD8" w:rsidRPr="00501CC3" w:rsidRDefault="000B3DD8" w:rsidP="000B3DD8">
      <w:pPr>
        <w:rPr>
          <w:rFonts w:ascii="Arial Narrow" w:hAnsi="Arial Narrow"/>
          <w:i/>
          <w:sz w:val="20"/>
          <w:lang w:val="en-US"/>
        </w:rPr>
      </w:pPr>
      <w:r>
        <w:rPr>
          <w:rStyle w:val="Appelnotedebasdep"/>
        </w:rPr>
        <w:footnoteRef/>
      </w:r>
      <w:r w:rsidRPr="00501CC3">
        <w:rPr>
          <w:lang w:val="en-US"/>
        </w:rPr>
        <w:t xml:space="preserve"> </w:t>
      </w:r>
      <w:r w:rsidRPr="00501CC3">
        <w:rPr>
          <w:rFonts w:ascii="Arial Narrow" w:hAnsi="Arial Narrow"/>
          <w:i/>
          <w:sz w:val="20"/>
          <w:lang w:val="en-US"/>
        </w:rPr>
        <w:t>Professor of Medical Sociology, Rm 134, School of Social Policy, Sociology and Social Research</w:t>
      </w:r>
    </w:p>
    <w:p w14:paraId="48B5E27F" w14:textId="77777777" w:rsidR="000B3DD8" w:rsidRPr="00501CC3" w:rsidRDefault="000B3DD8" w:rsidP="000B3DD8">
      <w:pPr>
        <w:rPr>
          <w:i/>
          <w:sz w:val="20"/>
          <w:lang w:val="en-US"/>
        </w:rPr>
      </w:pPr>
      <w:r w:rsidRPr="00501CC3">
        <w:rPr>
          <w:rFonts w:ascii="Arial Narrow" w:hAnsi="Arial Narrow"/>
          <w:i/>
          <w:sz w:val="20"/>
          <w:lang w:val="en-US"/>
        </w:rPr>
        <w:t>University of Kent, Cornwallis East, Canterbury, Kent, (CT2 7NF) - UK</w:t>
      </w:r>
    </w:p>
  </w:footnote>
  <w:footnote w:id="4">
    <w:p w14:paraId="04BF07F8" w14:textId="77777777" w:rsidR="000B3DD8" w:rsidRPr="00501CC3" w:rsidRDefault="000B3DD8" w:rsidP="000B3DD8">
      <w:pPr>
        <w:pStyle w:val="Notedebasdepage"/>
        <w:rPr>
          <w:rFonts w:ascii="Arial Narrow" w:hAnsi="Arial Narrow"/>
          <w:i/>
          <w:sz w:val="20"/>
          <w:lang w:val="en-US"/>
        </w:rPr>
      </w:pPr>
      <w:r>
        <w:rPr>
          <w:rStyle w:val="Appelnotedebasdep"/>
        </w:rPr>
        <w:footnoteRef/>
      </w:r>
      <w:r w:rsidRPr="00501CC3">
        <w:rPr>
          <w:lang w:val="en-US"/>
        </w:rPr>
        <w:t xml:space="preserve"> </w:t>
      </w:r>
      <w:r w:rsidRPr="00501CC3">
        <w:rPr>
          <w:rFonts w:ascii="Arial Narrow" w:hAnsi="Arial Narrow"/>
          <w:i/>
          <w:sz w:val="20"/>
          <w:lang w:val="en-US"/>
        </w:rPr>
        <w:t xml:space="preserve">Michael </w:t>
      </w:r>
      <w:proofErr w:type="spellStart"/>
      <w:r w:rsidRPr="00501CC3">
        <w:rPr>
          <w:rFonts w:ascii="Arial Narrow" w:hAnsi="Arial Narrow"/>
          <w:i/>
          <w:sz w:val="20"/>
          <w:lang w:val="en-US"/>
        </w:rPr>
        <w:t>Calnan</w:t>
      </w:r>
      <w:proofErr w:type="spellEnd"/>
      <w:r w:rsidRPr="00501CC3">
        <w:rPr>
          <w:rFonts w:ascii="Arial Narrow" w:hAnsi="Arial Narrow"/>
          <w:i/>
          <w:sz w:val="20"/>
          <w:lang w:val="en-US"/>
        </w:rPr>
        <w:t xml:space="preserve">, Erica W. Gadsby, Mandy Kader Kondé3, </w:t>
      </w:r>
      <w:proofErr w:type="spellStart"/>
      <w:r w:rsidRPr="00501CC3">
        <w:rPr>
          <w:rFonts w:ascii="Arial Narrow" w:hAnsi="Arial Narrow"/>
          <w:i/>
          <w:sz w:val="20"/>
          <w:lang w:val="en-US"/>
        </w:rPr>
        <w:t>Abdourahime</w:t>
      </w:r>
      <w:proofErr w:type="spellEnd"/>
      <w:r w:rsidRPr="00501CC3">
        <w:rPr>
          <w:rFonts w:ascii="Arial Narrow" w:hAnsi="Arial Narrow"/>
          <w:i/>
          <w:sz w:val="20"/>
          <w:lang w:val="en-US"/>
        </w:rPr>
        <w:t xml:space="preserve"> Diallo4, Jeremy S. </w:t>
      </w:r>
      <w:proofErr w:type="gramStart"/>
      <w:r w:rsidRPr="00501CC3">
        <w:rPr>
          <w:rFonts w:ascii="Arial Narrow" w:hAnsi="Arial Narrow"/>
          <w:i/>
          <w:sz w:val="20"/>
          <w:lang w:val="en-US"/>
        </w:rPr>
        <w:t>Rossman :</w:t>
      </w:r>
      <w:proofErr w:type="gramEnd"/>
      <w:r w:rsidRPr="00501CC3">
        <w:rPr>
          <w:rFonts w:ascii="Arial Narrow" w:hAnsi="Arial Narrow"/>
          <w:i/>
          <w:sz w:val="20"/>
          <w:lang w:val="en-US"/>
        </w:rPr>
        <w:t xml:space="preserve"> The Response to and Impact of the Ebola Epidemic: Towards an Agenda for Interdisciplinary Research. International Journal of Health Policy and Management, 2017, 6(x), 1–10</w:t>
      </w:r>
    </w:p>
  </w:footnote>
  <w:footnote w:id="5">
    <w:p w14:paraId="2FA162CD" w14:textId="77777777" w:rsidR="000B3DD8" w:rsidRPr="00501CC3" w:rsidRDefault="000B3DD8" w:rsidP="000B3DD8">
      <w:pPr>
        <w:pStyle w:val="Notedebasdepage"/>
        <w:rPr>
          <w:lang w:val="en-US"/>
        </w:rPr>
      </w:pPr>
      <w:r>
        <w:rPr>
          <w:rStyle w:val="Appelnotedebasdep"/>
        </w:rPr>
        <w:footnoteRef/>
      </w:r>
      <w:r w:rsidRPr="00501CC3">
        <w:rPr>
          <w:lang w:val="en-US"/>
        </w:rPr>
        <w:t xml:space="preserve"> </w:t>
      </w:r>
      <w:r w:rsidRPr="00501CC3">
        <w:rPr>
          <w:rFonts w:ascii="Arial Narrow" w:hAnsi="Arial Narrow"/>
          <w:i/>
          <w:sz w:val="20"/>
          <w:lang w:val="en-US"/>
        </w:rPr>
        <w:t>Trust Breaking and Making in Public Health responses to Epidemics: the case of the 2013-16 West Africa Ebola outbreak</w:t>
      </w:r>
    </w:p>
  </w:footnote>
  <w:footnote w:id="6">
    <w:p w14:paraId="5D5824AB" w14:textId="77777777" w:rsidR="000B3DD8" w:rsidRPr="00F144F2" w:rsidRDefault="000B3DD8" w:rsidP="000B3DD8">
      <w:pPr>
        <w:pStyle w:val="Notedebasdepage"/>
        <w:rPr>
          <w:lang w:val="en-US"/>
        </w:rPr>
      </w:pPr>
      <w:r>
        <w:rPr>
          <w:rStyle w:val="Appelnotedebasdep"/>
        </w:rPr>
        <w:footnoteRef/>
      </w:r>
      <w:r w:rsidRPr="00556E14">
        <w:rPr>
          <w:lang w:val="en-US"/>
        </w:rPr>
        <w:t xml:space="preserve"> </w:t>
      </w:r>
      <w:r w:rsidRPr="00556E14">
        <w:rPr>
          <w:rFonts w:ascii="Arial Narrow" w:hAnsi="Arial Narrow"/>
          <w:sz w:val="20"/>
          <w:lang w:val="en-US"/>
        </w:rPr>
        <w:t xml:space="preserve">Mandy Kader </w:t>
      </w:r>
      <w:proofErr w:type="spellStart"/>
      <w:r w:rsidRPr="00556E14">
        <w:rPr>
          <w:rFonts w:ascii="Arial Narrow" w:hAnsi="Arial Narrow"/>
          <w:sz w:val="20"/>
          <w:lang w:val="en-US"/>
        </w:rPr>
        <w:t>Kondé</w:t>
      </w:r>
      <w:proofErr w:type="spellEnd"/>
      <w:r w:rsidRPr="00556E14">
        <w:rPr>
          <w:rFonts w:ascii="Arial Narrow" w:hAnsi="Arial Narrow"/>
          <w:sz w:val="20"/>
          <w:lang w:val="en-US"/>
        </w:rPr>
        <w:t xml:space="preserve">, </w:t>
      </w:r>
      <w:proofErr w:type="spellStart"/>
      <w:r w:rsidRPr="00556E14">
        <w:rPr>
          <w:rFonts w:ascii="Arial Narrow" w:hAnsi="Arial Narrow"/>
          <w:sz w:val="20"/>
          <w:lang w:val="en-US"/>
        </w:rPr>
        <w:t>Moustapha</w:t>
      </w:r>
      <w:proofErr w:type="spellEnd"/>
      <w:r w:rsidRPr="00556E14">
        <w:rPr>
          <w:rFonts w:ascii="Arial Narrow" w:hAnsi="Arial Narrow"/>
          <w:sz w:val="20"/>
          <w:lang w:val="en-US"/>
        </w:rPr>
        <w:t xml:space="preserve"> Keita Diop, Lorenzo </w:t>
      </w:r>
      <w:proofErr w:type="spellStart"/>
      <w:proofErr w:type="gramStart"/>
      <w:r w:rsidRPr="00556E14">
        <w:rPr>
          <w:rFonts w:ascii="Arial Narrow" w:hAnsi="Arial Narrow"/>
          <w:sz w:val="20"/>
          <w:lang w:val="en-US"/>
        </w:rPr>
        <w:t>Subissi</w:t>
      </w:r>
      <w:proofErr w:type="spellEnd"/>
      <w:r w:rsidRPr="00556E14">
        <w:rPr>
          <w:rFonts w:ascii="Arial Narrow" w:hAnsi="Arial Narrow"/>
          <w:sz w:val="20"/>
          <w:lang w:val="en-US"/>
        </w:rPr>
        <w:t> </w:t>
      </w:r>
      <w:r>
        <w:rPr>
          <w:rFonts w:ascii="Arial Narrow" w:hAnsi="Arial Narrow"/>
          <w:sz w:val="20"/>
          <w:lang w:val="en-US"/>
        </w:rPr>
        <w:t xml:space="preserve"> &amp;</w:t>
      </w:r>
      <w:proofErr w:type="gramEnd"/>
      <w:r>
        <w:rPr>
          <w:rFonts w:ascii="Arial Narrow" w:hAnsi="Arial Narrow"/>
          <w:sz w:val="20"/>
          <w:lang w:val="en-US"/>
        </w:rPr>
        <w:t xml:space="preserve">  al</w:t>
      </w:r>
      <w:r w:rsidRPr="00556E14">
        <w:rPr>
          <w:rFonts w:ascii="Arial Narrow" w:hAnsi="Arial Narrow"/>
          <w:sz w:val="20"/>
          <w:lang w:val="en-US"/>
        </w:rPr>
        <w:t xml:space="preserve">: Sex practices and awareness of Ebola virus disease among male survivors and their partners in Guinea. </w:t>
      </w:r>
      <w:proofErr w:type="spellStart"/>
      <w:r w:rsidRPr="00F144F2">
        <w:rPr>
          <w:rFonts w:ascii="Arial Narrow" w:hAnsi="Arial Narrow"/>
          <w:sz w:val="20"/>
          <w:lang w:val="en-US"/>
        </w:rPr>
        <w:t>Kondé</w:t>
      </w:r>
      <w:proofErr w:type="spellEnd"/>
      <w:r w:rsidRPr="00F144F2">
        <w:rPr>
          <w:rFonts w:ascii="Arial Narrow" w:hAnsi="Arial Narrow"/>
          <w:sz w:val="20"/>
          <w:lang w:val="en-US"/>
        </w:rPr>
        <w:t xml:space="preserve"> MK, et al. BMJ Glob Health 2017;</w:t>
      </w:r>
      <w:proofErr w:type="gramStart"/>
      <w:r w:rsidRPr="00F144F2">
        <w:rPr>
          <w:rFonts w:ascii="Arial Narrow" w:hAnsi="Arial Narrow"/>
          <w:sz w:val="20"/>
          <w:lang w:val="en-US"/>
        </w:rPr>
        <w:t>2:e</w:t>
      </w:r>
      <w:proofErr w:type="gramEnd"/>
      <w:r w:rsidRPr="00F144F2">
        <w:rPr>
          <w:rFonts w:ascii="Arial Narrow" w:hAnsi="Arial Narrow"/>
          <w:sz w:val="20"/>
          <w:lang w:val="en-US"/>
        </w:rPr>
        <w:t>000412. doi:10.1136/bmjgh-2017-000412</w:t>
      </w:r>
    </w:p>
  </w:footnote>
  <w:footnote w:id="7">
    <w:p w14:paraId="198397EE" w14:textId="77777777" w:rsidR="000B3DD8" w:rsidRPr="0070207E" w:rsidRDefault="000B3DD8" w:rsidP="000B3DD8">
      <w:pPr>
        <w:rPr>
          <w:rFonts w:ascii="Arial Narrow" w:hAnsi="Arial Narrow"/>
          <w:sz w:val="20"/>
          <w:lang w:val="en-CA"/>
        </w:rPr>
      </w:pPr>
      <w:r>
        <w:rPr>
          <w:rStyle w:val="Appelnotedebasdep"/>
        </w:rPr>
        <w:footnoteRef/>
      </w:r>
      <w:r w:rsidRPr="0070207E">
        <w:rPr>
          <w:lang w:val="en-CA"/>
        </w:rPr>
        <w:t xml:space="preserve"> </w:t>
      </w:r>
      <w:r w:rsidRPr="0070207E">
        <w:rPr>
          <w:rFonts w:ascii="Arial Narrow" w:hAnsi="Arial Narrow"/>
          <w:sz w:val="20"/>
          <w:lang w:val="en-CA"/>
        </w:rPr>
        <w:t xml:space="preserve">Link to current funding opportunity announcement (PAR-16-407): http://grants.nih.gov/grants/guide/pa-files/PAR-16-407.html  </w:t>
      </w:r>
    </w:p>
    <w:p w14:paraId="686836D6" w14:textId="77777777" w:rsidR="000B3DD8" w:rsidRPr="0070207E" w:rsidRDefault="000B3DD8" w:rsidP="000B3DD8">
      <w:pPr>
        <w:pStyle w:val="Notedebasdepage"/>
        <w:rPr>
          <w:sz w:val="20"/>
          <w:lang w:val="en-CA"/>
        </w:rPr>
      </w:pPr>
    </w:p>
  </w:footnote>
  <w:footnote w:id="8">
    <w:p w14:paraId="5C07959D" w14:textId="77777777" w:rsidR="0014786C" w:rsidRPr="00730464" w:rsidRDefault="0014786C" w:rsidP="0014786C">
      <w:pPr>
        <w:rPr>
          <w:sz w:val="20"/>
          <w:lang w:val="en-CA"/>
        </w:rPr>
      </w:pPr>
      <w:r w:rsidRPr="00A527E0">
        <w:rPr>
          <w:rStyle w:val="Appelnotedebasdep"/>
          <w:sz w:val="20"/>
        </w:rPr>
        <w:footnoteRef/>
      </w:r>
      <w:r w:rsidRPr="00730464">
        <w:rPr>
          <w:sz w:val="20"/>
          <w:lang w:val="en-CA"/>
        </w:rPr>
        <w:t xml:space="preserve"> </w:t>
      </w:r>
      <w:hyperlink r:id="rId1" w:history="1">
        <w:r w:rsidRPr="00730464">
          <w:rPr>
            <w:rStyle w:val="Lienhypertexte"/>
            <w:sz w:val="20"/>
            <w:lang w:val="en-CA"/>
          </w:rPr>
          <w:t>http://www.cihr-irsc.gc.ca/e/49560.html</w:t>
        </w:r>
      </w:hyperlink>
    </w:p>
    <w:p w14:paraId="2A038BD7" w14:textId="77777777" w:rsidR="0014786C" w:rsidRPr="00730464" w:rsidRDefault="0014786C" w:rsidP="0014786C">
      <w:pPr>
        <w:pStyle w:val="Notedebasdepage"/>
        <w:rPr>
          <w:lang w:val="en-C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1FE6"/>
    <w:multiLevelType w:val="hybridMultilevel"/>
    <w:tmpl w:val="1602A8D2"/>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5DA0021"/>
    <w:multiLevelType w:val="hybridMultilevel"/>
    <w:tmpl w:val="2D9AB30A"/>
    <w:lvl w:ilvl="0" w:tplc="947023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9F5592"/>
    <w:multiLevelType w:val="hybridMultilevel"/>
    <w:tmpl w:val="1EE20B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592C04"/>
    <w:multiLevelType w:val="hybridMultilevel"/>
    <w:tmpl w:val="9FD658CC"/>
    <w:lvl w:ilvl="0" w:tplc="B5F4E900">
      <w:start w:val="1"/>
      <w:numFmt w:val="bullet"/>
      <w:lvlText w:val="•"/>
      <w:lvlJc w:val="left"/>
      <w:pPr>
        <w:tabs>
          <w:tab w:val="num" w:pos="1080"/>
        </w:tabs>
        <w:ind w:left="1080" w:hanging="360"/>
      </w:pPr>
      <w:rPr>
        <w:rFonts w:ascii="Arial" w:hAnsi="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CA620DA"/>
    <w:multiLevelType w:val="hybridMultilevel"/>
    <w:tmpl w:val="2C0645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39B779E"/>
    <w:multiLevelType w:val="multilevel"/>
    <w:tmpl w:val="B052CA82"/>
    <w:lvl w:ilvl="0">
      <w:start w:val="1"/>
      <w:numFmt w:val="decimal"/>
      <w:pStyle w:val="Titre1"/>
      <w:lvlText w:val="%1"/>
      <w:lvlJc w:val="left"/>
      <w:pPr>
        <w:ind w:left="432" w:hanging="432"/>
      </w:pPr>
    </w:lvl>
    <w:lvl w:ilvl="1">
      <w:start w:val="1"/>
      <w:numFmt w:val="decimal"/>
      <w:pStyle w:val="Titre2"/>
      <w:lvlText w:val="%1.%2"/>
      <w:lvlJc w:val="left"/>
      <w:pPr>
        <w:ind w:left="-842" w:hanging="576"/>
      </w:pPr>
    </w:lvl>
    <w:lvl w:ilvl="2">
      <w:start w:val="1"/>
      <w:numFmt w:val="decimal"/>
      <w:pStyle w:val="Titre3"/>
      <w:lvlText w:val="%1.%2.%3"/>
      <w:lvlJc w:val="left"/>
      <w:pPr>
        <w:ind w:left="-1124" w:hanging="720"/>
      </w:pPr>
    </w:lvl>
    <w:lvl w:ilvl="3">
      <w:start w:val="1"/>
      <w:numFmt w:val="decimal"/>
      <w:pStyle w:val="Titre4"/>
      <w:lvlText w:val="%1.%2.%3.%4"/>
      <w:lvlJc w:val="left"/>
      <w:pPr>
        <w:ind w:left="-980" w:hanging="864"/>
      </w:pPr>
      <w:rPr>
        <w:color w:val="auto"/>
      </w:rPr>
    </w:lvl>
    <w:lvl w:ilvl="4">
      <w:start w:val="1"/>
      <w:numFmt w:val="decimal"/>
      <w:pStyle w:val="Titre5"/>
      <w:lvlText w:val="%1.%2.%3.%4.%5"/>
      <w:lvlJc w:val="left"/>
      <w:pPr>
        <w:ind w:left="-836" w:hanging="1008"/>
      </w:pPr>
    </w:lvl>
    <w:lvl w:ilvl="5">
      <w:start w:val="1"/>
      <w:numFmt w:val="decimal"/>
      <w:pStyle w:val="Titre6"/>
      <w:lvlText w:val="%1.%2.%3.%4.%5.%6"/>
      <w:lvlJc w:val="left"/>
      <w:pPr>
        <w:ind w:left="-692" w:hanging="1152"/>
      </w:pPr>
    </w:lvl>
    <w:lvl w:ilvl="6">
      <w:start w:val="1"/>
      <w:numFmt w:val="decimal"/>
      <w:pStyle w:val="Titre7"/>
      <w:lvlText w:val="%1.%2.%3.%4.%5.%6.%7"/>
      <w:lvlJc w:val="left"/>
      <w:pPr>
        <w:ind w:left="-548" w:hanging="1296"/>
      </w:pPr>
    </w:lvl>
    <w:lvl w:ilvl="7">
      <w:start w:val="1"/>
      <w:numFmt w:val="decimal"/>
      <w:pStyle w:val="Titre8"/>
      <w:lvlText w:val="%1.%2.%3.%4.%5.%6.%7.%8"/>
      <w:lvlJc w:val="left"/>
      <w:pPr>
        <w:ind w:left="-404" w:hanging="1440"/>
      </w:pPr>
    </w:lvl>
    <w:lvl w:ilvl="8">
      <w:start w:val="1"/>
      <w:numFmt w:val="decimal"/>
      <w:pStyle w:val="Titre9"/>
      <w:lvlText w:val="%1.%2.%3.%4.%5.%6.%7.%8.%9"/>
      <w:lvlJc w:val="left"/>
      <w:pPr>
        <w:ind w:left="-260" w:hanging="1584"/>
      </w:pPr>
    </w:lvl>
  </w:abstractNum>
  <w:abstractNum w:abstractNumId="6" w15:restartNumberingAfterBreak="0">
    <w:nsid w:val="355C511D"/>
    <w:multiLevelType w:val="multilevel"/>
    <w:tmpl w:val="51209A38"/>
    <w:lvl w:ilvl="0">
      <w:start w:val="1"/>
      <w:numFmt w:val="decimal"/>
      <w:lvlText w:val="%1."/>
      <w:lvlJc w:val="left"/>
      <w:pPr>
        <w:ind w:left="360" w:hanging="360"/>
      </w:pPr>
    </w:lvl>
    <w:lvl w:ilvl="1">
      <w:start w:val="1"/>
      <w:numFmt w:val="decimal"/>
      <w:isLgl/>
      <w:lvlText w:val="%1.%2."/>
      <w:lvlJc w:val="left"/>
      <w:pPr>
        <w:ind w:left="1152" w:hanging="72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237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92" w:hanging="1800"/>
      </w:pPr>
      <w:rPr>
        <w:rFonts w:hint="default"/>
      </w:rPr>
    </w:lvl>
    <w:lvl w:ilvl="7">
      <w:start w:val="1"/>
      <w:numFmt w:val="decimal"/>
      <w:isLgl/>
      <w:lvlText w:val="%1.%2.%3.%4.%5.%6.%7.%8."/>
      <w:lvlJc w:val="left"/>
      <w:pPr>
        <w:ind w:left="4824" w:hanging="1800"/>
      </w:pPr>
      <w:rPr>
        <w:rFonts w:hint="default"/>
      </w:rPr>
    </w:lvl>
    <w:lvl w:ilvl="8">
      <w:start w:val="1"/>
      <w:numFmt w:val="decimal"/>
      <w:isLgl/>
      <w:lvlText w:val="%1.%2.%3.%4.%5.%6.%7.%8.%9."/>
      <w:lvlJc w:val="left"/>
      <w:pPr>
        <w:ind w:left="5616" w:hanging="2160"/>
      </w:pPr>
      <w:rPr>
        <w:rFonts w:hint="default"/>
      </w:rPr>
    </w:lvl>
  </w:abstractNum>
  <w:abstractNum w:abstractNumId="7" w15:restartNumberingAfterBreak="0">
    <w:nsid w:val="385D1024"/>
    <w:multiLevelType w:val="hybridMultilevel"/>
    <w:tmpl w:val="E8B05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475740"/>
    <w:multiLevelType w:val="hybridMultilevel"/>
    <w:tmpl w:val="FD7AF766"/>
    <w:lvl w:ilvl="0" w:tplc="F386E9F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21C6655"/>
    <w:multiLevelType w:val="hybridMultilevel"/>
    <w:tmpl w:val="3586D186"/>
    <w:lvl w:ilvl="0" w:tplc="8ACE8656">
      <w:start w:val="1"/>
      <w:numFmt w:val="bullet"/>
      <w:lvlText w:val="•"/>
      <w:lvlJc w:val="left"/>
      <w:pPr>
        <w:tabs>
          <w:tab w:val="num" w:pos="720"/>
        </w:tabs>
        <w:ind w:left="720" w:hanging="360"/>
      </w:pPr>
      <w:rPr>
        <w:rFonts w:ascii="Arial" w:hAnsi="Arial" w:hint="default"/>
      </w:rPr>
    </w:lvl>
    <w:lvl w:ilvl="1" w:tplc="F17E0E4E" w:tentative="1">
      <w:start w:val="1"/>
      <w:numFmt w:val="bullet"/>
      <w:lvlText w:val="•"/>
      <w:lvlJc w:val="left"/>
      <w:pPr>
        <w:tabs>
          <w:tab w:val="num" w:pos="1440"/>
        </w:tabs>
        <w:ind w:left="1440" w:hanging="360"/>
      </w:pPr>
      <w:rPr>
        <w:rFonts w:ascii="Arial" w:hAnsi="Arial" w:hint="default"/>
      </w:rPr>
    </w:lvl>
    <w:lvl w:ilvl="2" w:tplc="05C00DD0" w:tentative="1">
      <w:start w:val="1"/>
      <w:numFmt w:val="bullet"/>
      <w:lvlText w:val="•"/>
      <w:lvlJc w:val="left"/>
      <w:pPr>
        <w:tabs>
          <w:tab w:val="num" w:pos="2160"/>
        </w:tabs>
        <w:ind w:left="2160" w:hanging="360"/>
      </w:pPr>
      <w:rPr>
        <w:rFonts w:ascii="Arial" w:hAnsi="Arial" w:hint="default"/>
      </w:rPr>
    </w:lvl>
    <w:lvl w:ilvl="3" w:tplc="6888B2C0" w:tentative="1">
      <w:start w:val="1"/>
      <w:numFmt w:val="bullet"/>
      <w:lvlText w:val="•"/>
      <w:lvlJc w:val="left"/>
      <w:pPr>
        <w:tabs>
          <w:tab w:val="num" w:pos="2880"/>
        </w:tabs>
        <w:ind w:left="2880" w:hanging="360"/>
      </w:pPr>
      <w:rPr>
        <w:rFonts w:ascii="Arial" w:hAnsi="Arial" w:hint="default"/>
      </w:rPr>
    </w:lvl>
    <w:lvl w:ilvl="4" w:tplc="E5E2BEA2" w:tentative="1">
      <w:start w:val="1"/>
      <w:numFmt w:val="bullet"/>
      <w:lvlText w:val="•"/>
      <w:lvlJc w:val="left"/>
      <w:pPr>
        <w:tabs>
          <w:tab w:val="num" w:pos="3600"/>
        </w:tabs>
        <w:ind w:left="3600" w:hanging="360"/>
      </w:pPr>
      <w:rPr>
        <w:rFonts w:ascii="Arial" w:hAnsi="Arial" w:hint="default"/>
      </w:rPr>
    </w:lvl>
    <w:lvl w:ilvl="5" w:tplc="F1200A9C" w:tentative="1">
      <w:start w:val="1"/>
      <w:numFmt w:val="bullet"/>
      <w:lvlText w:val="•"/>
      <w:lvlJc w:val="left"/>
      <w:pPr>
        <w:tabs>
          <w:tab w:val="num" w:pos="4320"/>
        </w:tabs>
        <w:ind w:left="4320" w:hanging="360"/>
      </w:pPr>
      <w:rPr>
        <w:rFonts w:ascii="Arial" w:hAnsi="Arial" w:hint="default"/>
      </w:rPr>
    </w:lvl>
    <w:lvl w:ilvl="6" w:tplc="52DC481A" w:tentative="1">
      <w:start w:val="1"/>
      <w:numFmt w:val="bullet"/>
      <w:lvlText w:val="•"/>
      <w:lvlJc w:val="left"/>
      <w:pPr>
        <w:tabs>
          <w:tab w:val="num" w:pos="5040"/>
        </w:tabs>
        <w:ind w:left="5040" w:hanging="360"/>
      </w:pPr>
      <w:rPr>
        <w:rFonts w:ascii="Arial" w:hAnsi="Arial" w:hint="default"/>
      </w:rPr>
    </w:lvl>
    <w:lvl w:ilvl="7" w:tplc="7A4049F2" w:tentative="1">
      <w:start w:val="1"/>
      <w:numFmt w:val="bullet"/>
      <w:lvlText w:val="•"/>
      <w:lvlJc w:val="left"/>
      <w:pPr>
        <w:tabs>
          <w:tab w:val="num" w:pos="5760"/>
        </w:tabs>
        <w:ind w:left="5760" w:hanging="360"/>
      </w:pPr>
      <w:rPr>
        <w:rFonts w:ascii="Arial" w:hAnsi="Arial" w:hint="default"/>
      </w:rPr>
    </w:lvl>
    <w:lvl w:ilvl="8" w:tplc="4A9CD1D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CF06787"/>
    <w:multiLevelType w:val="hybridMultilevel"/>
    <w:tmpl w:val="B03222B8"/>
    <w:lvl w:ilvl="0" w:tplc="947023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8A771E"/>
    <w:multiLevelType w:val="hybridMultilevel"/>
    <w:tmpl w:val="1D76A484"/>
    <w:lvl w:ilvl="0" w:tplc="94702382">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7692A9C"/>
    <w:multiLevelType w:val="hybridMultilevel"/>
    <w:tmpl w:val="B05640DC"/>
    <w:lvl w:ilvl="0" w:tplc="947023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0D640F"/>
    <w:multiLevelType w:val="hybridMultilevel"/>
    <w:tmpl w:val="7AEAFBA2"/>
    <w:lvl w:ilvl="0" w:tplc="1EAE6B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334DBA"/>
    <w:multiLevelType w:val="hybridMultilevel"/>
    <w:tmpl w:val="322C2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83230C"/>
    <w:multiLevelType w:val="hybridMultilevel"/>
    <w:tmpl w:val="5D285CFA"/>
    <w:lvl w:ilvl="0" w:tplc="947023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13"/>
  </w:num>
  <w:num w:numId="6">
    <w:abstractNumId w:val="6"/>
  </w:num>
  <w:num w:numId="7">
    <w:abstractNumId w:val="15"/>
  </w:num>
  <w:num w:numId="8">
    <w:abstractNumId w:val="1"/>
  </w:num>
  <w:num w:numId="9">
    <w:abstractNumId w:val="14"/>
  </w:num>
  <w:num w:numId="10">
    <w:abstractNumId w:val="7"/>
  </w:num>
  <w:num w:numId="11">
    <w:abstractNumId w:val="11"/>
  </w:num>
  <w:num w:numId="12">
    <w:abstractNumId w:val="10"/>
  </w:num>
  <w:num w:numId="13">
    <w:abstractNumId w:val="3"/>
  </w:num>
  <w:num w:numId="14">
    <w:abstractNumId w:val="12"/>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55"/>
    <w:rsid w:val="00010108"/>
    <w:rsid w:val="000B3DD8"/>
    <w:rsid w:val="0014786C"/>
    <w:rsid w:val="00211D2D"/>
    <w:rsid w:val="00641F55"/>
    <w:rsid w:val="006C23F3"/>
    <w:rsid w:val="009127A1"/>
    <w:rsid w:val="00B044F7"/>
    <w:rsid w:val="00B47204"/>
    <w:rsid w:val="00C863E5"/>
    <w:rsid w:val="00CD633A"/>
    <w:rsid w:val="00E04F21"/>
    <w:rsid w:val="00F91A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A486"/>
  <w15:chartTrackingRefBased/>
  <w15:docId w15:val="{55405F39-F5C6-4A9A-95A9-074448A3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F55"/>
  </w:style>
  <w:style w:type="paragraph" w:styleId="Titre1">
    <w:name w:val="heading 1"/>
    <w:basedOn w:val="Normal"/>
    <w:next w:val="Normal"/>
    <w:link w:val="Titre1Car"/>
    <w:uiPriority w:val="99"/>
    <w:qFormat/>
    <w:rsid w:val="00641F55"/>
    <w:pPr>
      <w:keepNext/>
      <w:keepLines/>
      <w:numPr>
        <w:numId w:val="1"/>
      </w:numPr>
      <w:spacing w:before="480" w:after="200" w:line="276" w:lineRule="auto"/>
      <w:outlineLvl w:val="0"/>
    </w:pPr>
    <w:rPr>
      <w:rFonts w:ascii="Calibri" w:eastAsia="Times New Roman" w:hAnsi="Calibri" w:cs="Times New Roman"/>
      <w:b/>
      <w:bCs/>
      <w:color w:val="365F91"/>
      <w:sz w:val="28"/>
      <w:szCs w:val="28"/>
      <w:lang w:eastAsia="zh-CN"/>
    </w:rPr>
  </w:style>
  <w:style w:type="paragraph" w:styleId="Titre2">
    <w:name w:val="heading 2"/>
    <w:basedOn w:val="Normal"/>
    <w:next w:val="Normal"/>
    <w:link w:val="Titre2Car"/>
    <w:uiPriority w:val="99"/>
    <w:unhideWhenUsed/>
    <w:qFormat/>
    <w:rsid w:val="00641F55"/>
    <w:pPr>
      <w:keepNext/>
      <w:keepLines/>
      <w:numPr>
        <w:ilvl w:val="1"/>
        <w:numId w:val="1"/>
      </w:numPr>
      <w:spacing w:before="200" w:after="200" w:line="276" w:lineRule="auto"/>
      <w:outlineLvl w:val="1"/>
    </w:pPr>
    <w:rPr>
      <w:rFonts w:ascii="Calibri" w:eastAsia="Times New Roman" w:hAnsi="Calibri" w:cs="Times New Roman"/>
      <w:b/>
      <w:bCs/>
      <w:color w:val="4F81BD"/>
      <w:sz w:val="26"/>
      <w:szCs w:val="26"/>
      <w:lang w:eastAsia="zh-CN"/>
    </w:rPr>
  </w:style>
  <w:style w:type="paragraph" w:styleId="Titre3">
    <w:name w:val="heading 3"/>
    <w:basedOn w:val="Normal"/>
    <w:next w:val="Normal"/>
    <w:link w:val="Titre3Car"/>
    <w:unhideWhenUsed/>
    <w:qFormat/>
    <w:rsid w:val="00641F55"/>
    <w:pPr>
      <w:keepNext/>
      <w:keepLines/>
      <w:numPr>
        <w:ilvl w:val="2"/>
        <w:numId w:val="1"/>
      </w:numPr>
      <w:spacing w:before="200" w:after="200" w:line="276" w:lineRule="auto"/>
      <w:outlineLvl w:val="2"/>
    </w:pPr>
    <w:rPr>
      <w:rFonts w:ascii="Calibri" w:eastAsia="Times New Roman" w:hAnsi="Calibri" w:cs="Times New Roman"/>
      <w:b/>
      <w:bCs/>
      <w:color w:val="4F81BD"/>
      <w:sz w:val="24"/>
      <w:szCs w:val="24"/>
      <w:lang w:eastAsia="zh-CN"/>
    </w:rPr>
  </w:style>
  <w:style w:type="paragraph" w:styleId="Titre4">
    <w:name w:val="heading 4"/>
    <w:basedOn w:val="Normal"/>
    <w:next w:val="Normal"/>
    <w:link w:val="Titre4Car"/>
    <w:uiPriority w:val="99"/>
    <w:unhideWhenUsed/>
    <w:qFormat/>
    <w:rsid w:val="00641F55"/>
    <w:pPr>
      <w:keepNext/>
      <w:keepLines/>
      <w:numPr>
        <w:ilvl w:val="3"/>
        <w:numId w:val="1"/>
      </w:numPr>
      <w:spacing w:before="200" w:after="200" w:line="276" w:lineRule="auto"/>
      <w:outlineLvl w:val="3"/>
    </w:pPr>
    <w:rPr>
      <w:rFonts w:ascii="Calibri" w:eastAsia="Times New Roman" w:hAnsi="Calibri" w:cs="Times New Roman"/>
      <w:b/>
      <w:bCs/>
      <w:i/>
      <w:iCs/>
      <w:color w:val="4F81BD"/>
      <w:sz w:val="24"/>
      <w:szCs w:val="24"/>
      <w:lang w:eastAsia="zh-CN"/>
    </w:rPr>
  </w:style>
  <w:style w:type="paragraph" w:styleId="Titre5">
    <w:name w:val="heading 5"/>
    <w:basedOn w:val="Normal"/>
    <w:next w:val="Normal"/>
    <w:link w:val="Titre5Car"/>
    <w:uiPriority w:val="99"/>
    <w:unhideWhenUsed/>
    <w:qFormat/>
    <w:rsid w:val="00641F55"/>
    <w:pPr>
      <w:keepNext/>
      <w:keepLines/>
      <w:numPr>
        <w:ilvl w:val="4"/>
        <w:numId w:val="1"/>
      </w:numPr>
      <w:spacing w:before="200" w:after="200" w:line="276" w:lineRule="auto"/>
      <w:outlineLvl w:val="4"/>
    </w:pPr>
    <w:rPr>
      <w:rFonts w:ascii="Calibri" w:eastAsia="Times New Roman" w:hAnsi="Calibri" w:cs="Times New Roman"/>
      <w:color w:val="243F60"/>
      <w:sz w:val="24"/>
      <w:szCs w:val="24"/>
      <w:lang w:eastAsia="zh-CN"/>
    </w:rPr>
  </w:style>
  <w:style w:type="paragraph" w:styleId="Titre6">
    <w:name w:val="heading 6"/>
    <w:basedOn w:val="Normal"/>
    <w:next w:val="Normal"/>
    <w:link w:val="Titre6Car"/>
    <w:uiPriority w:val="99"/>
    <w:unhideWhenUsed/>
    <w:qFormat/>
    <w:rsid w:val="00641F55"/>
    <w:pPr>
      <w:keepNext/>
      <w:keepLines/>
      <w:numPr>
        <w:ilvl w:val="5"/>
        <w:numId w:val="1"/>
      </w:numPr>
      <w:spacing w:before="200" w:after="200" w:line="276" w:lineRule="auto"/>
      <w:outlineLvl w:val="5"/>
    </w:pPr>
    <w:rPr>
      <w:rFonts w:ascii="Calibri" w:eastAsia="Times New Roman" w:hAnsi="Calibri" w:cs="Times New Roman"/>
      <w:i/>
      <w:iCs/>
      <w:color w:val="243F60"/>
      <w:sz w:val="24"/>
      <w:szCs w:val="24"/>
      <w:lang w:eastAsia="zh-CN"/>
    </w:rPr>
  </w:style>
  <w:style w:type="paragraph" w:styleId="Titre7">
    <w:name w:val="heading 7"/>
    <w:basedOn w:val="Normal"/>
    <w:next w:val="Normal"/>
    <w:link w:val="Titre7Car"/>
    <w:uiPriority w:val="99"/>
    <w:unhideWhenUsed/>
    <w:qFormat/>
    <w:rsid w:val="00641F55"/>
    <w:pPr>
      <w:keepNext/>
      <w:keepLines/>
      <w:numPr>
        <w:ilvl w:val="6"/>
        <w:numId w:val="1"/>
      </w:numPr>
      <w:spacing w:before="200" w:after="200" w:line="276" w:lineRule="auto"/>
      <w:outlineLvl w:val="6"/>
    </w:pPr>
    <w:rPr>
      <w:rFonts w:ascii="Calibri" w:eastAsia="Times New Roman" w:hAnsi="Calibri" w:cs="Times New Roman"/>
      <w:i/>
      <w:iCs/>
      <w:color w:val="404040"/>
      <w:sz w:val="24"/>
      <w:szCs w:val="24"/>
      <w:lang w:eastAsia="zh-CN"/>
    </w:rPr>
  </w:style>
  <w:style w:type="paragraph" w:styleId="Titre8">
    <w:name w:val="heading 8"/>
    <w:basedOn w:val="Normal"/>
    <w:next w:val="Normal"/>
    <w:link w:val="Titre8Car"/>
    <w:uiPriority w:val="99"/>
    <w:unhideWhenUsed/>
    <w:qFormat/>
    <w:rsid w:val="00641F55"/>
    <w:pPr>
      <w:keepNext/>
      <w:keepLines/>
      <w:numPr>
        <w:ilvl w:val="7"/>
        <w:numId w:val="1"/>
      </w:numPr>
      <w:spacing w:before="200" w:after="200" w:line="276" w:lineRule="auto"/>
      <w:outlineLvl w:val="7"/>
    </w:pPr>
    <w:rPr>
      <w:rFonts w:ascii="Calibri" w:eastAsia="Times New Roman" w:hAnsi="Calibri" w:cs="Times New Roman"/>
      <w:color w:val="404040"/>
      <w:sz w:val="20"/>
      <w:szCs w:val="20"/>
      <w:lang w:eastAsia="zh-CN"/>
    </w:rPr>
  </w:style>
  <w:style w:type="paragraph" w:styleId="Titre9">
    <w:name w:val="heading 9"/>
    <w:basedOn w:val="Normal"/>
    <w:next w:val="Normal"/>
    <w:link w:val="Titre9Car"/>
    <w:uiPriority w:val="99"/>
    <w:unhideWhenUsed/>
    <w:qFormat/>
    <w:rsid w:val="00641F55"/>
    <w:pPr>
      <w:keepNext/>
      <w:keepLines/>
      <w:numPr>
        <w:ilvl w:val="8"/>
        <w:numId w:val="1"/>
      </w:numPr>
      <w:spacing w:before="200" w:after="200" w:line="276" w:lineRule="auto"/>
      <w:outlineLvl w:val="8"/>
    </w:pPr>
    <w:rPr>
      <w:rFonts w:ascii="Calibri" w:eastAsia="Times New Roman" w:hAnsi="Calibri" w:cs="Times New Roman"/>
      <w:i/>
      <w:iCs/>
      <w:color w:val="404040"/>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641F55"/>
    <w:rPr>
      <w:rFonts w:ascii="Calibri" w:eastAsia="Times New Roman" w:hAnsi="Calibri" w:cs="Times New Roman"/>
      <w:b/>
      <w:bCs/>
      <w:color w:val="365F91"/>
      <w:sz w:val="28"/>
      <w:szCs w:val="28"/>
      <w:lang w:eastAsia="zh-CN"/>
    </w:rPr>
  </w:style>
  <w:style w:type="character" w:customStyle="1" w:styleId="Titre2Car">
    <w:name w:val="Titre 2 Car"/>
    <w:basedOn w:val="Policepardfaut"/>
    <w:link w:val="Titre2"/>
    <w:uiPriority w:val="99"/>
    <w:rsid w:val="00641F55"/>
    <w:rPr>
      <w:rFonts w:ascii="Calibri" w:eastAsia="Times New Roman" w:hAnsi="Calibri" w:cs="Times New Roman"/>
      <w:b/>
      <w:bCs/>
      <w:color w:val="4F81BD"/>
      <w:sz w:val="26"/>
      <w:szCs w:val="26"/>
      <w:lang w:eastAsia="zh-CN"/>
    </w:rPr>
  </w:style>
  <w:style w:type="character" w:customStyle="1" w:styleId="Titre3Car">
    <w:name w:val="Titre 3 Car"/>
    <w:basedOn w:val="Policepardfaut"/>
    <w:link w:val="Titre3"/>
    <w:rsid w:val="00641F55"/>
    <w:rPr>
      <w:rFonts w:ascii="Calibri" w:eastAsia="Times New Roman" w:hAnsi="Calibri" w:cs="Times New Roman"/>
      <w:b/>
      <w:bCs/>
      <w:color w:val="4F81BD"/>
      <w:sz w:val="24"/>
      <w:szCs w:val="24"/>
      <w:lang w:eastAsia="zh-CN"/>
    </w:rPr>
  </w:style>
  <w:style w:type="character" w:customStyle="1" w:styleId="Titre4Car">
    <w:name w:val="Titre 4 Car"/>
    <w:basedOn w:val="Policepardfaut"/>
    <w:link w:val="Titre4"/>
    <w:uiPriority w:val="99"/>
    <w:rsid w:val="00641F55"/>
    <w:rPr>
      <w:rFonts w:ascii="Calibri" w:eastAsia="Times New Roman" w:hAnsi="Calibri" w:cs="Times New Roman"/>
      <w:b/>
      <w:bCs/>
      <w:i/>
      <w:iCs/>
      <w:color w:val="4F81BD"/>
      <w:sz w:val="24"/>
      <w:szCs w:val="24"/>
      <w:lang w:eastAsia="zh-CN"/>
    </w:rPr>
  </w:style>
  <w:style w:type="character" w:customStyle="1" w:styleId="Titre5Car">
    <w:name w:val="Titre 5 Car"/>
    <w:basedOn w:val="Policepardfaut"/>
    <w:link w:val="Titre5"/>
    <w:uiPriority w:val="99"/>
    <w:rsid w:val="00641F55"/>
    <w:rPr>
      <w:rFonts w:ascii="Calibri" w:eastAsia="Times New Roman" w:hAnsi="Calibri" w:cs="Times New Roman"/>
      <w:color w:val="243F60"/>
      <w:sz w:val="24"/>
      <w:szCs w:val="24"/>
      <w:lang w:eastAsia="zh-CN"/>
    </w:rPr>
  </w:style>
  <w:style w:type="character" w:customStyle="1" w:styleId="Titre6Car">
    <w:name w:val="Titre 6 Car"/>
    <w:basedOn w:val="Policepardfaut"/>
    <w:link w:val="Titre6"/>
    <w:uiPriority w:val="99"/>
    <w:rsid w:val="00641F55"/>
    <w:rPr>
      <w:rFonts w:ascii="Calibri" w:eastAsia="Times New Roman" w:hAnsi="Calibri" w:cs="Times New Roman"/>
      <w:i/>
      <w:iCs/>
      <w:color w:val="243F60"/>
      <w:sz w:val="24"/>
      <w:szCs w:val="24"/>
      <w:lang w:eastAsia="zh-CN"/>
    </w:rPr>
  </w:style>
  <w:style w:type="character" w:customStyle="1" w:styleId="Titre7Car">
    <w:name w:val="Titre 7 Car"/>
    <w:basedOn w:val="Policepardfaut"/>
    <w:link w:val="Titre7"/>
    <w:uiPriority w:val="99"/>
    <w:rsid w:val="00641F55"/>
    <w:rPr>
      <w:rFonts w:ascii="Calibri" w:eastAsia="Times New Roman" w:hAnsi="Calibri" w:cs="Times New Roman"/>
      <w:i/>
      <w:iCs/>
      <w:color w:val="404040"/>
      <w:sz w:val="24"/>
      <w:szCs w:val="24"/>
      <w:lang w:eastAsia="zh-CN"/>
    </w:rPr>
  </w:style>
  <w:style w:type="character" w:customStyle="1" w:styleId="Titre8Car">
    <w:name w:val="Titre 8 Car"/>
    <w:basedOn w:val="Policepardfaut"/>
    <w:link w:val="Titre8"/>
    <w:uiPriority w:val="99"/>
    <w:rsid w:val="00641F55"/>
    <w:rPr>
      <w:rFonts w:ascii="Calibri" w:eastAsia="Times New Roman" w:hAnsi="Calibri" w:cs="Times New Roman"/>
      <w:color w:val="404040"/>
      <w:sz w:val="20"/>
      <w:szCs w:val="20"/>
      <w:lang w:eastAsia="zh-CN"/>
    </w:rPr>
  </w:style>
  <w:style w:type="character" w:customStyle="1" w:styleId="Titre9Car">
    <w:name w:val="Titre 9 Car"/>
    <w:basedOn w:val="Policepardfaut"/>
    <w:link w:val="Titre9"/>
    <w:uiPriority w:val="99"/>
    <w:rsid w:val="00641F55"/>
    <w:rPr>
      <w:rFonts w:ascii="Calibri" w:eastAsia="Times New Roman" w:hAnsi="Calibri" w:cs="Times New Roman"/>
      <w:i/>
      <w:iCs/>
      <w:color w:val="404040"/>
      <w:sz w:val="20"/>
      <w:szCs w:val="20"/>
      <w:lang w:eastAsia="zh-CN"/>
    </w:rPr>
  </w:style>
  <w:style w:type="character" w:styleId="lev">
    <w:name w:val="Strong"/>
    <w:basedOn w:val="Policepardfaut"/>
    <w:uiPriority w:val="22"/>
    <w:qFormat/>
    <w:rsid w:val="00641F55"/>
    <w:rPr>
      <w:b/>
      <w:bCs/>
    </w:rPr>
  </w:style>
  <w:style w:type="paragraph" w:styleId="Paragraphedeliste">
    <w:name w:val="List Paragraph"/>
    <w:aliases w:val="References,MCHIP_list paragraph,List Paragraph1,Recommendation,Bullet List,FooterText,Bioforce zListePuce,Lista Colorida - Cor 11,Liste couleur - Accent 11,Bullets,Medium Grid 1 - Accent 21,Liste couleur - Accent 111,numbered,????"/>
    <w:basedOn w:val="Normal"/>
    <w:link w:val="ParagraphedelisteCar"/>
    <w:uiPriority w:val="34"/>
    <w:qFormat/>
    <w:rsid w:val="00641F55"/>
    <w:pPr>
      <w:ind w:left="720"/>
      <w:contextualSpacing/>
    </w:pPr>
  </w:style>
  <w:style w:type="character" w:customStyle="1" w:styleId="ParagraphedelisteCar">
    <w:name w:val="Paragraphe de liste Car"/>
    <w:aliases w:val="References Car,MCHIP_list paragraph Car,List Paragraph1 Car,Recommendation Car,Bullet List Car,FooterText Car,Bioforce zListePuce Car,Lista Colorida - Cor 11 Car,Liste couleur - Accent 11 Car,Bullets Car,numbered Car,???? Car"/>
    <w:link w:val="Paragraphedeliste"/>
    <w:uiPriority w:val="34"/>
    <w:rsid w:val="00211D2D"/>
  </w:style>
  <w:style w:type="paragraph" w:styleId="Notedebasdepage">
    <w:name w:val="footnote text"/>
    <w:basedOn w:val="Normal"/>
    <w:link w:val="NotedebasdepageCar"/>
    <w:uiPriority w:val="99"/>
    <w:unhideWhenUsed/>
    <w:rsid w:val="000B3DD8"/>
    <w:pPr>
      <w:spacing w:after="0" w:line="240" w:lineRule="auto"/>
    </w:pPr>
    <w:rPr>
      <w:rFonts w:ascii="Calibri" w:eastAsia="Calibri" w:hAnsi="Calibri" w:cs="Times New Roman"/>
      <w:sz w:val="24"/>
      <w:szCs w:val="24"/>
    </w:rPr>
  </w:style>
  <w:style w:type="character" w:customStyle="1" w:styleId="NotedebasdepageCar">
    <w:name w:val="Note de bas de page Car"/>
    <w:basedOn w:val="Policepardfaut"/>
    <w:link w:val="Notedebasdepage"/>
    <w:uiPriority w:val="99"/>
    <w:rsid w:val="000B3DD8"/>
    <w:rPr>
      <w:rFonts w:ascii="Calibri" w:eastAsia="Calibri" w:hAnsi="Calibri" w:cs="Times New Roman"/>
      <w:sz w:val="24"/>
      <w:szCs w:val="24"/>
    </w:rPr>
  </w:style>
  <w:style w:type="character" w:styleId="Appelnotedebasdep">
    <w:name w:val="footnote reference"/>
    <w:basedOn w:val="Policepardfaut"/>
    <w:uiPriority w:val="99"/>
    <w:unhideWhenUsed/>
    <w:rsid w:val="000B3DD8"/>
    <w:rPr>
      <w:vertAlign w:val="superscript"/>
    </w:rPr>
  </w:style>
  <w:style w:type="character" w:styleId="Lienhypertexte">
    <w:name w:val="Hyperlink"/>
    <w:uiPriority w:val="99"/>
    <w:unhideWhenUsed/>
    <w:rsid w:val="000B3DD8"/>
    <w:rPr>
      <w:color w:val="0563C1"/>
      <w:u w:val="single"/>
    </w:rPr>
  </w:style>
  <w:style w:type="table" w:styleId="Grilledutableau">
    <w:name w:val="Table Grid"/>
    <w:basedOn w:val="TableauNormal"/>
    <w:uiPriority w:val="59"/>
    <w:rsid w:val="000B3DD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7Couleur-Accentuation31">
    <w:name w:val="Tableau Liste 7 Couleur - Accentuation 31"/>
    <w:basedOn w:val="TableauNormal"/>
    <w:uiPriority w:val="52"/>
    <w:rsid w:val="0014786C"/>
    <w:pPr>
      <w:spacing w:after="0" w:line="240" w:lineRule="auto"/>
    </w:pPr>
    <w:rPr>
      <w:color w:val="7B7B7B" w:themeColor="accent3"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242793">
      <w:bodyDiv w:val="1"/>
      <w:marLeft w:val="0"/>
      <w:marRight w:val="0"/>
      <w:marTop w:val="0"/>
      <w:marBottom w:val="0"/>
      <w:divBdr>
        <w:top w:val="none" w:sz="0" w:space="0" w:color="auto"/>
        <w:left w:val="none" w:sz="0" w:space="0" w:color="auto"/>
        <w:bottom w:val="none" w:sz="0" w:space="0" w:color="auto"/>
        <w:right w:val="none" w:sz="0" w:space="0" w:color="auto"/>
      </w:divBdr>
      <w:divsChild>
        <w:div w:id="28285497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ceforpa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ihr-irsc.gc.ca/e/49560.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4777</Words>
  <Characters>26275</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kondemandykader@yahoo.fr</dc:creator>
  <cp:keywords/>
  <dc:description/>
  <cp:lastModifiedBy>kondemandykader@yahoo.fr</cp:lastModifiedBy>
  <cp:revision>2</cp:revision>
  <dcterms:created xsi:type="dcterms:W3CDTF">2020-09-26T15:40:00Z</dcterms:created>
  <dcterms:modified xsi:type="dcterms:W3CDTF">2020-09-26T15:40:00Z</dcterms:modified>
</cp:coreProperties>
</file>